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227" w:rsidRPr="00696227" w:rsidRDefault="002A0513" w:rsidP="00FF7C5D">
      <w:pPr>
        <w:spacing w:after="120"/>
        <w:ind w:right="459"/>
        <w:jc w:val="center"/>
        <w:rPr>
          <w:rStyle w:val="jlqj4b"/>
          <w:rFonts w:eastAsiaTheme="majorEastAsia"/>
          <w:b/>
          <w:sz w:val="24"/>
          <w:szCs w:val="24"/>
          <w:lang w:val="fr-FR"/>
        </w:rPr>
      </w:pPr>
      <w:r w:rsidRPr="00696227">
        <w:rPr>
          <w:rStyle w:val="jlqj4b"/>
          <w:rFonts w:eastAsiaTheme="majorEastAsia"/>
          <w:b/>
          <w:sz w:val="24"/>
          <w:szCs w:val="24"/>
          <w:lang w:val="fr-FR"/>
        </w:rPr>
        <w:t xml:space="preserve">Pacte mondial pour une migration sûre, ordonnée et régulière </w:t>
      </w:r>
      <w:r w:rsidR="00696227">
        <w:rPr>
          <w:rStyle w:val="jlqj4b"/>
          <w:rFonts w:eastAsiaTheme="majorEastAsia"/>
          <w:b/>
          <w:sz w:val="24"/>
          <w:szCs w:val="24"/>
          <w:lang w:val="fr-FR"/>
        </w:rPr>
        <w:t xml:space="preserve">- </w:t>
      </w:r>
      <w:r w:rsidRPr="00696227">
        <w:rPr>
          <w:rStyle w:val="jlqj4b"/>
          <w:rFonts w:eastAsiaTheme="majorEastAsia"/>
          <w:b/>
          <w:sz w:val="24"/>
          <w:szCs w:val="24"/>
          <w:lang w:val="fr-FR"/>
        </w:rPr>
        <w:t xml:space="preserve">Conférence régionale d'examen africaine - 26 août 2021 (virtuelle), 15h00 à 16h30 </w:t>
      </w:r>
      <w:r w:rsidR="00696227">
        <w:rPr>
          <w:rStyle w:val="jlqj4b"/>
          <w:rFonts w:eastAsiaTheme="majorEastAsia"/>
          <w:b/>
          <w:sz w:val="24"/>
          <w:szCs w:val="24"/>
          <w:lang w:val="fr-FR"/>
        </w:rPr>
        <w:t>Heure Afrique de l’Est (</w:t>
      </w:r>
      <w:r w:rsidRPr="00696227">
        <w:rPr>
          <w:rStyle w:val="jlqj4b"/>
          <w:rFonts w:eastAsiaTheme="majorEastAsia"/>
          <w:b/>
          <w:sz w:val="24"/>
          <w:szCs w:val="24"/>
          <w:lang w:val="fr-FR"/>
        </w:rPr>
        <w:t>EAT</w:t>
      </w:r>
      <w:r w:rsidR="00696227">
        <w:rPr>
          <w:rStyle w:val="jlqj4b"/>
          <w:rFonts w:eastAsiaTheme="majorEastAsia"/>
          <w:b/>
          <w:sz w:val="24"/>
          <w:szCs w:val="24"/>
          <w:lang w:val="fr-FR"/>
        </w:rPr>
        <w:t>)</w:t>
      </w:r>
    </w:p>
    <w:p w:rsidR="00750426" w:rsidRPr="00FF7C5D" w:rsidRDefault="002A0513" w:rsidP="00FF7C5D">
      <w:pPr>
        <w:spacing w:after="120"/>
        <w:ind w:left="95" w:right="459"/>
        <w:jc w:val="center"/>
        <w:rPr>
          <w:b/>
          <w:sz w:val="24"/>
          <w:szCs w:val="24"/>
        </w:rPr>
      </w:pPr>
      <w:r w:rsidRPr="00696227">
        <w:rPr>
          <w:rStyle w:val="jlqj4b"/>
          <w:rFonts w:eastAsiaTheme="majorEastAsia"/>
          <w:b/>
          <w:sz w:val="24"/>
          <w:szCs w:val="24"/>
          <w:lang w:val="fr-FR"/>
        </w:rPr>
        <w:t>Note conceptuelle</w:t>
      </w:r>
    </w:p>
    <w:p w:rsidR="00750426" w:rsidRDefault="00750426" w:rsidP="00B4495A">
      <w:pPr>
        <w:spacing w:after="120" w:line="200" w:lineRule="exact"/>
      </w:pPr>
    </w:p>
    <w:p w:rsidR="00B4495A" w:rsidRPr="00B4495A" w:rsidRDefault="00A7051F" w:rsidP="00B4495A">
      <w:pPr>
        <w:pStyle w:val="ListParagraph"/>
        <w:numPr>
          <w:ilvl w:val="0"/>
          <w:numId w:val="3"/>
        </w:numPr>
        <w:spacing w:after="120"/>
        <w:ind w:right="1537"/>
        <w:jc w:val="both"/>
        <w:rPr>
          <w:rStyle w:val="jlqj4b"/>
          <w:b/>
          <w:sz w:val="22"/>
          <w:szCs w:val="22"/>
          <w:lang w:val="fr-FR"/>
        </w:rPr>
      </w:pPr>
      <w:proofErr w:type="gramStart"/>
      <w:r w:rsidRPr="00B4495A">
        <w:rPr>
          <w:b/>
          <w:sz w:val="22"/>
          <w:szCs w:val="22"/>
          <w:lang w:val="fr-FR"/>
        </w:rPr>
        <w:t>Titre</w:t>
      </w:r>
      <w:r w:rsidR="00330402" w:rsidRPr="00B4495A">
        <w:rPr>
          <w:b/>
          <w:sz w:val="22"/>
          <w:szCs w:val="22"/>
          <w:lang w:val="fr-FR"/>
        </w:rPr>
        <w:t>:</w:t>
      </w:r>
      <w:proofErr w:type="gramEnd"/>
      <w:r w:rsidR="00330402" w:rsidRPr="00B4495A">
        <w:rPr>
          <w:b/>
          <w:sz w:val="22"/>
          <w:szCs w:val="22"/>
          <w:lang w:val="fr-FR"/>
        </w:rPr>
        <w:t xml:space="preserve"> </w:t>
      </w:r>
      <w:r w:rsidR="002A0513" w:rsidRPr="00B4495A">
        <w:rPr>
          <w:rStyle w:val="jlqj4b"/>
          <w:rFonts w:eastAsiaTheme="majorEastAsia"/>
          <w:b/>
          <w:sz w:val="22"/>
          <w:szCs w:val="22"/>
          <w:lang w:val="fr-FR"/>
        </w:rPr>
        <w:t>Mobilité humaine dans les contextes de catastrophes et de changement</w:t>
      </w:r>
      <w:r w:rsidR="00E6641D" w:rsidRPr="00B4495A">
        <w:rPr>
          <w:rStyle w:val="jlqj4b"/>
          <w:rFonts w:eastAsiaTheme="majorEastAsia"/>
          <w:b/>
          <w:sz w:val="22"/>
          <w:szCs w:val="22"/>
          <w:lang w:val="fr-FR"/>
        </w:rPr>
        <w:t xml:space="preserve"> </w:t>
      </w:r>
      <w:r w:rsidR="002A0513" w:rsidRPr="00B4495A">
        <w:rPr>
          <w:rStyle w:val="jlqj4b"/>
          <w:rFonts w:eastAsiaTheme="majorEastAsia"/>
          <w:b/>
          <w:sz w:val="22"/>
          <w:szCs w:val="22"/>
          <w:lang w:val="fr-FR"/>
        </w:rPr>
        <w:t>climatique en Afrique</w:t>
      </w:r>
    </w:p>
    <w:p w:rsidR="00B4495A" w:rsidRPr="00B4495A" w:rsidRDefault="00B4495A" w:rsidP="00B4495A">
      <w:pPr>
        <w:pStyle w:val="ListParagraph"/>
        <w:spacing w:after="120"/>
        <w:ind w:left="360" w:right="1537"/>
        <w:jc w:val="both"/>
        <w:rPr>
          <w:rStyle w:val="jlqj4b"/>
          <w:b/>
          <w:sz w:val="22"/>
          <w:szCs w:val="22"/>
          <w:lang w:val="fr-FR"/>
        </w:rPr>
      </w:pPr>
    </w:p>
    <w:p w:rsidR="00E6641D" w:rsidRPr="00B4495A" w:rsidRDefault="0076464E" w:rsidP="00B4495A">
      <w:pPr>
        <w:pStyle w:val="ListParagraph"/>
        <w:numPr>
          <w:ilvl w:val="0"/>
          <w:numId w:val="3"/>
        </w:numPr>
        <w:spacing w:after="120"/>
        <w:ind w:right="1537"/>
        <w:jc w:val="both"/>
        <w:rPr>
          <w:b/>
          <w:sz w:val="22"/>
          <w:szCs w:val="22"/>
          <w:lang w:val="fr-FR"/>
        </w:rPr>
      </w:pPr>
      <w:proofErr w:type="spellStart"/>
      <w:r w:rsidRPr="00B4495A">
        <w:rPr>
          <w:b/>
          <w:sz w:val="22"/>
          <w:szCs w:val="22"/>
        </w:rPr>
        <w:t>Contexte</w:t>
      </w:r>
      <w:proofErr w:type="spellEnd"/>
      <w:r w:rsidR="002A0513" w:rsidRPr="00B4495A">
        <w:rPr>
          <w:b/>
          <w:sz w:val="22"/>
          <w:szCs w:val="22"/>
        </w:rPr>
        <w:t xml:space="preserve"> </w:t>
      </w:r>
    </w:p>
    <w:p w:rsidR="002A0513" w:rsidRPr="00E6641D" w:rsidRDefault="002A0513" w:rsidP="00B4495A">
      <w:pPr>
        <w:spacing w:after="120"/>
        <w:jc w:val="both"/>
        <w:rPr>
          <w:sz w:val="22"/>
          <w:szCs w:val="22"/>
          <w:lang w:val="fr-FR"/>
        </w:rPr>
      </w:pPr>
      <w:r w:rsidRPr="002A0513">
        <w:rPr>
          <w:sz w:val="22"/>
          <w:szCs w:val="22"/>
          <w:lang w:val="fr-FR"/>
        </w:rPr>
        <w:t xml:space="preserve">Les catastrophes liées aux risques naturels et les effets néfastes du changement climatique sont parmi les moteurs les plus importants et les plus communs de la mobilité humaine à travers l'Afrique. Sans action climatique mondiale et nationale urgente, l'étude </w:t>
      </w:r>
      <w:proofErr w:type="spellStart"/>
      <w:r w:rsidRPr="002A0513">
        <w:rPr>
          <w:sz w:val="22"/>
          <w:szCs w:val="22"/>
          <w:lang w:val="fr-FR"/>
        </w:rPr>
        <w:t>Groundswell</w:t>
      </w:r>
      <w:proofErr w:type="spellEnd"/>
      <w:r w:rsidRPr="002A0513">
        <w:rPr>
          <w:sz w:val="22"/>
          <w:szCs w:val="22"/>
          <w:lang w:val="fr-FR"/>
        </w:rPr>
        <w:t xml:space="preserve"> de la Banque mondiale prévoit qu'en Afrique subsaharienne, plus de 86 millions de personnes pourraient se déplacer à l'intérieur des frontières de leur pays d'ici 2050.</w:t>
      </w:r>
      <w:r w:rsidRPr="00E6641D">
        <w:rPr>
          <w:sz w:val="22"/>
          <w:szCs w:val="22"/>
          <w:lang w:val="fr-FR"/>
        </w:rPr>
        <w:t xml:space="preserve"> </w:t>
      </w:r>
    </w:p>
    <w:p w:rsidR="00750426" w:rsidRPr="002A0513" w:rsidRDefault="002A0513" w:rsidP="00B4495A">
      <w:pPr>
        <w:spacing w:before="9" w:after="120"/>
        <w:jc w:val="both"/>
        <w:rPr>
          <w:rStyle w:val="jlqj4b"/>
          <w:rFonts w:eastAsiaTheme="majorEastAsia"/>
          <w:sz w:val="22"/>
          <w:szCs w:val="22"/>
          <w:lang w:val="fr-FR"/>
        </w:rPr>
      </w:pPr>
      <w:r w:rsidRPr="002A0513">
        <w:rPr>
          <w:rStyle w:val="jlqj4b"/>
          <w:rFonts w:eastAsiaTheme="majorEastAsia"/>
          <w:sz w:val="22"/>
          <w:szCs w:val="22"/>
          <w:lang w:val="fr-FR"/>
        </w:rPr>
        <w:t>La région de l'IGAD est considérée comme l'une des plus vulnérables à la variabilité et au changement climatique.</w:t>
      </w:r>
      <w:r w:rsidRPr="002A0513">
        <w:rPr>
          <w:rStyle w:val="viiyi"/>
          <w:rFonts w:eastAsiaTheme="majorEastAsia"/>
          <w:sz w:val="22"/>
          <w:szCs w:val="22"/>
          <w:lang w:val="fr-FR"/>
        </w:rPr>
        <w:t xml:space="preserve"> </w:t>
      </w:r>
      <w:r w:rsidRPr="002A0513">
        <w:rPr>
          <w:rStyle w:val="jlqj4b"/>
          <w:rFonts w:eastAsiaTheme="majorEastAsia"/>
          <w:sz w:val="22"/>
          <w:szCs w:val="22"/>
          <w:lang w:val="fr-FR"/>
        </w:rPr>
        <w:t>Les différentes formes de mobilité humaine vers, depuis et au sein de la région de l'IGAD reflètent la gamme de facteurs complexes et structurels qui peuvent obliger les personnes à se déplacer.</w:t>
      </w:r>
      <w:r w:rsidRPr="002A0513">
        <w:rPr>
          <w:rStyle w:val="viiyi"/>
          <w:rFonts w:eastAsiaTheme="majorEastAsia"/>
          <w:sz w:val="22"/>
          <w:szCs w:val="22"/>
          <w:lang w:val="fr-FR"/>
        </w:rPr>
        <w:t xml:space="preserve"> </w:t>
      </w:r>
      <w:r w:rsidRPr="002A0513">
        <w:rPr>
          <w:rStyle w:val="jlqj4b"/>
          <w:rFonts w:eastAsiaTheme="majorEastAsia"/>
          <w:sz w:val="22"/>
          <w:szCs w:val="22"/>
          <w:lang w:val="fr-FR"/>
        </w:rPr>
        <w:t>Comment les gouvernements peuvent-ils mieux se préparer aux mouvements de population dans le contexte des catastrophes et des impacts négatifs du changement climatique ?</w:t>
      </w:r>
      <w:r w:rsidRPr="002A0513">
        <w:rPr>
          <w:rStyle w:val="viiyi"/>
          <w:rFonts w:eastAsiaTheme="majorEastAsia"/>
          <w:sz w:val="22"/>
          <w:szCs w:val="22"/>
          <w:lang w:val="fr-FR"/>
        </w:rPr>
        <w:t xml:space="preserve"> </w:t>
      </w:r>
      <w:r w:rsidRPr="002A0513">
        <w:rPr>
          <w:rStyle w:val="jlqj4b"/>
          <w:rFonts w:eastAsiaTheme="majorEastAsia"/>
          <w:sz w:val="22"/>
          <w:szCs w:val="22"/>
          <w:lang w:val="fr-FR"/>
        </w:rPr>
        <w:t>Comment soutenir et protéger efficacement les personnes affectées, comment éviter les déplacements dans ces contextes ?</w:t>
      </w:r>
      <w:r w:rsidRPr="002A0513">
        <w:rPr>
          <w:rStyle w:val="viiyi"/>
          <w:rFonts w:eastAsiaTheme="majorEastAsia"/>
          <w:sz w:val="22"/>
          <w:szCs w:val="22"/>
          <w:lang w:val="fr-FR"/>
        </w:rPr>
        <w:t xml:space="preserve"> </w:t>
      </w:r>
      <w:r w:rsidRPr="002A0513">
        <w:rPr>
          <w:rStyle w:val="jlqj4b"/>
          <w:rFonts w:eastAsiaTheme="majorEastAsia"/>
          <w:sz w:val="22"/>
          <w:szCs w:val="22"/>
          <w:lang w:val="fr-FR"/>
        </w:rPr>
        <w:t>Comment l'Afrique peut-elle renforcer les solutions pour les migrants contraints de se déplacer dans le contexte des catastrophes et des effets néfastes du changement climatique ?</w:t>
      </w:r>
      <w:r w:rsidRPr="002A0513">
        <w:rPr>
          <w:rStyle w:val="viiyi"/>
          <w:rFonts w:eastAsiaTheme="majorEastAsia"/>
          <w:sz w:val="22"/>
          <w:szCs w:val="22"/>
          <w:lang w:val="fr-FR"/>
        </w:rPr>
        <w:t xml:space="preserve"> </w:t>
      </w:r>
      <w:r w:rsidRPr="002A0513">
        <w:rPr>
          <w:rStyle w:val="jlqj4b"/>
          <w:rFonts w:eastAsiaTheme="majorEastAsia"/>
          <w:sz w:val="22"/>
          <w:szCs w:val="22"/>
          <w:lang w:val="fr-FR"/>
        </w:rPr>
        <w:t>Et comment mieux protéger les personnes en situation de déplacement transfrontalier dans le contexte des catastrophes et du changement climatique ?</w:t>
      </w:r>
    </w:p>
    <w:p w:rsidR="00750426" w:rsidRPr="00E6641D" w:rsidRDefault="00750426" w:rsidP="00B4495A">
      <w:pPr>
        <w:spacing w:before="11" w:after="120" w:line="220" w:lineRule="exact"/>
        <w:rPr>
          <w:sz w:val="22"/>
          <w:szCs w:val="22"/>
          <w:lang w:val="fr-FR"/>
        </w:rPr>
      </w:pPr>
    </w:p>
    <w:p w:rsidR="004F6AFF" w:rsidRPr="00B4495A" w:rsidRDefault="004F6AFF" w:rsidP="00B4495A">
      <w:pPr>
        <w:pStyle w:val="ListParagraph"/>
        <w:numPr>
          <w:ilvl w:val="0"/>
          <w:numId w:val="3"/>
        </w:numPr>
        <w:spacing w:after="120"/>
        <w:ind w:right="7302"/>
        <w:rPr>
          <w:b/>
          <w:sz w:val="22"/>
          <w:szCs w:val="22"/>
          <w:lang w:val="fr-FR"/>
        </w:rPr>
      </w:pPr>
      <w:r w:rsidRPr="00B4495A">
        <w:rPr>
          <w:b/>
          <w:sz w:val="22"/>
          <w:szCs w:val="22"/>
          <w:lang w:val="fr-FR"/>
        </w:rPr>
        <w:t xml:space="preserve">Objectif de la session </w:t>
      </w:r>
      <w:r w:rsidR="002A0513" w:rsidRPr="00B4495A">
        <w:rPr>
          <w:b/>
          <w:sz w:val="22"/>
          <w:szCs w:val="22"/>
          <w:lang w:val="fr-FR"/>
        </w:rPr>
        <w:t xml:space="preserve"> </w:t>
      </w:r>
    </w:p>
    <w:p w:rsidR="0076464E" w:rsidRDefault="004F6AFF" w:rsidP="00FF7C5D">
      <w:pPr>
        <w:spacing w:after="120" w:line="240" w:lineRule="exact"/>
        <w:ind w:right="253"/>
        <w:jc w:val="both"/>
        <w:rPr>
          <w:rFonts w:eastAsiaTheme="majorEastAsia"/>
          <w:lang w:val="fr-FR"/>
        </w:rPr>
      </w:pPr>
      <w:r w:rsidRPr="004F6AFF">
        <w:rPr>
          <w:rStyle w:val="jlqj4b"/>
          <w:rFonts w:eastAsiaTheme="majorEastAsia"/>
          <w:sz w:val="22"/>
          <w:szCs w:val="22"/>
          <w:lang w:val="fr-FR"/>
        </w:rPr>
        <w:t xml:space="preserve">La session parallèle, </w:t>
      </w:r>
      <w:proofErr w:type="spellStart"/>
      <w:r w:rsidRPr="004F6AFF">
        <w:rPr>
          <w:rStyle w:val="jlqj4b"/>
          <w:rFonts w:eastAsiaTheme="majorEastAsia"/>
          <w:sz w:val="22"/>
          <w:szCs w:val="22"/>
          <w:lang w:val="fr-FR"/>
        </w:rPr>
        <w:t>co-organisée</w:t>
      </w:r>
      <w:proofErr w:type="spellEnd"/>
      <w:r w:rsidRPr="004F6AFF">
        <w:rPr>
          <w:rStyle w:val="jlqj4b"/>
          <w:rFonts w:eastAsiaTheme="majorEastAsia"/>
          <w:sz w:val="22"/>
          <w:szCs w:val="22"/>
          <w:lang w:val="fr-FR"/>
        </w:rPr>
        <w:t xml:space="preserve"> par l'Autorité intergouvernementale pour le développement (IGAD), l</w:t>
      </w:r>
      <w:r w:rsidRPr="00330402">
        <w:rPr>
          <w:rStyle w:val="jlqj4b"/>
          <w:rFonts w:eastAsiaTheme="majorEastAsia"/>
          <w:sz w:val="22"/>
          <w:szCs w:val="22"/>
          <w:lang w:val="fr-FR"/>
        </w:rPr>
        <w:t>e</w:t>
      </w:r>
      <w:r w:rsidRPr="004F6AFF">
        <w:rPr>
          <w:rStyle w:val="jlqj4b"/>
          <w:rFonts w:eastAsiaTheme="majorEastAsia"/>
          <w:sz w:val="22"/>
          <w:szCs w:val="22"/>
          <w:lang w:val="fr-FR"/>
        </w:rPr>
        <w:t xml:space="preserve"> Programme des Nations Unies pour le développement (PNUD) et la Plateforme sur les déplacements en cas de catastrophe (PDD) présentera comment les initiatives nationales en cours  au niveau régional et national à travers l'Afrique visent à minimiser les facteurs défavorables et structurels qui obligent les personnes à quitter leur pays d'origine, tout en facilitant également une migration sûre, ordonnée et régulière dans le contexte des catastrophes, du changement climatique et de la dégradation de </w:t>
      </w:r>
      <w:proofErr w:type="gramStart"/>
      <w:r w:rsidRPr="004F6AFF">
        <w:rPr>
          <w:rStyle w:val="jlqj4b"/>
          <w:rFonts w:eastAsiaTheme="majorEastAsia"/>
          <w:sz w:val="22"/>
          <w:szCs w:val="22"/>
          <w:lang w:val="fr-FR"/>
        </w:rPr>
        <w:t>l'environnement</w:t>
      </w:r>
      <w:proofErr w:type="gramEnd"/>
      <w:r w:rsidRPr="004F6AFF">
        <w:rPr>
          <w:rStyle w:val="jlqj4b"/>
          <w:rFonts w:eastAsiaTheme="majorEastAsia"/>
          <w:sz w:val="22"/>
          <w:szCs w:val="22"/>
          <w:lang w:val="fr-FR"/>
        </w:rPr>
        <w:t xml:space="preserve"> dans la zone de l'IGAD et d'autres régions d'Afrique. Entre autres initiatives, l'événement parallèle présentera et discutera du programme conjoint  « Traiter les causes et faciliter une migration sûre, ordonnée et régulière dans les contextes de catastrophes et de changement climatique dans la région de l'IGAD » mis en œuvre par l'IGAD, l</w:t>
      </w:r>
      <w:bookmarkStart w:id="0" w:name="_GoBack"/>
      <w:bookmarkEnd w:id="0"/>
      <w:r w:rsidRPr="004F6AFF">
        <w:rPr>
          <w:rStyle w:val="jlqj4b"/>
          <w:rFonts w:eastAsiaTheme="majorEastAsia"/>
          <w:sz w:val="22"/>
          <w:szCs w:val="22"/>
          <w:lang w:val="fr-FR"/>
        </w:rPr>
        <w:t>'OIM, le PDD (organisé par UNOPS), l'OIT, le HCR et le Centre d'application et de prévision climatique de l'IGAD (ICPAC), financés par le Fonds fiduciaire multipartenaire pour la migration (MPTF). L'événement parallèle mettra en lumière les principales initiatives nationales et régionales sur la mobilité humaine liée au climat, y compris les initiatives en cours des États membres, du PNUD et d'autres parties prenantes, notamment le PDD, l'Initiative africaine pour la migration climatique (ACMI). Les perspectives des communautés locales, ainsi que les meilleures pratiques e</w:t>
      </w:r>
      <w:r w:rsidR="00696227">
        <w:rPr>
          <w:rStyle w:val="jlqj4b"/>
          <w:rFonts w:eastAsiaTheme="majorEastAsia"/>
          <w:sz w:val="22"/>
          <w:szCs w:val="22"/>
          <w:lang w:val="fr-FR"/>
        </w:rPr>
        <w:t>t les leçons apprises seront pré</w:t>
      </w:r>
      <w:r w:rsidRPr="004F6AFF">
        <w:rPr>
          <w:rStyle w:val="jlqj4b"/>
          <w:rFonts w:eastAsiaTheme="majorEastAsia"/>
          <w:sz w:val="22"/>
          <w:szCs w:val="22"/>
          <w:lang w:val="fr-FR"/>
        </w:rPr>
        <w:t>sentées et les principaux domaines d'action prioritaires et les recommandations politiques seront identifiés</w:t>
      </w:r>
      <w:r>
        <w:rPr>
          <w:rStyle w:val="jlqj4b"/>
          <w:rFonts w:eastAsiaTheme="majorEastAsia"/>
          <w:lang w:val="fr-FR"/>
        </w:rPr>
        <w:t>.</w:t>
      </w:r>
    </w:p>
    <w:p w:rsidR="00FF7C5D" w:rsidRPr="00FF7C5D" w:rsidRDefault="00FF7C5D" w:rsidP="00FF7C5D">
      <w:pPr>
        <w:spacing w:after="120" w:line="240" w:lineRule="exact"/>
        <w:ind w:right="253"/>
        <w:jc w:val="both"/>
        <w:rPr>
          <w:rFonts w:eastAsiaTheme="majorEastAsia"/>
          <w:lang w:val="fr-FR"/>
        </w:rPr>
      </w:pPr>
    </w:p>
    <w:p w:rsidR="00696227" w:rsidRPr="00FF7C5D" w:rsidRDefault="00330402" w:rsidP="00FF7C5D">
      <w:pPr>
        <w:pStyle w:val="ListParagraph"/>
        <w:numPr>
          <w:ilvl w:val="0"/>
          <w:numId w:val="3"/>
        </w:numPr>
        <w:spacing w:after="120"/>
        <w:ind w:right="5430"/>
        <w:rPr>
          <w:b/>
          <w:sz w:val="22"/>
          <w:szCs w:val="22"/>
          <w:lang w:val="fr-FR"/>
        </w:rPr>
      </w:pPr>
      <w:r w:rsidRPr="00FF7C5D">
        <w:rPr>
          <w:b/>
          <w:sz w:val="22"/>
          <w:szCs w:val="22"/>
          <w:lang w:val="fr-FR"/>
        </w:rPr>
        <w:t xml:space="preserve">Contributions </w:t>
      </w:r>
      <w:r w:rsidR="00696227" w:rsidRPr="00FF7C5D">
        <w:rPr>
          <w:b/>
          <w:sz w:val="22"/>
          <w:szCs w:val="22"/>
          <w:lang w:val="fr-FR"/>
        </w:rPr>
        <w:t>aux domaine(s)</w:t>
      </w:r>
      <w:r w:rsidR="00FF7C5D" w:rsidRPr="00FF7C5D">
        <w:rPr>
          <w:b/>
          <w:sz w:val="22"/>
          <w:szCs w:val="22"/>
          <w:lang w:val="fr-FR"/>
        </w:rPr>
        <w:t xml:space="preserve"> </w:t>
      </w:r>
      <w:r w:rsidR="0076464E" w:rsidRPr="00FF7C5D">
        <w:rPr>
          <w:b/>
          <w:sz w:val="22"/>
          <w:szCs w:val="22"/>
          <w:lang w:val="fr-FR"/>
        </w:rPr>
        <w:t>t</w:t>
      </w:r>
      <w:r w:rsidR="00696227" w:rsidRPr="00FF7C5D">
        <w:rPr>
          <w:b/>
          <w:sz w:val="22"/>
          <w:szCs w:val="22"/>
          <w:lang w:val="fr-FR"/>
        </w:rPr>
        <w:t xml:space="preserve">hématique(s) </w:t>
      </w:r>
    </w:p>
    <w:p w:rsidR="00750426" w:rsidRPr="00B4495A" w:rsidRDefault="00330402" w:rsidP="00B4495A">
      <w:pPr>
        <w:spacing w:before="20" w:after="120" w:line="258" w:lineRule="auto"/>
        <w:ind w:right="252"/>
        <w:jc w:val="both"/>
        <w:rPr>
          <w:sz w:val="22"/>
          <w:szCs w:val="22"/>
          <w:lang w:val="fr-FR"/>
        </w:rPr>
      </w:pPr>
      <w:r>
        <w:rPr>
          <w:rStyle w:val="jlqj4b"/>
          <w:rFonts w:eastAsiaTheme="majorEastAsia"/>
          <w:sz w:val="22"/>
          <w:szCs w:val="22"/>
          <w:lang w:val="fr-FR"/>
        </w:rPr>
        <w:t>Les</w:t>
      </w:r>
      <w:r w:rsidR="00696227" w:rsidRPr="00696227">
        <w:rPr>
          <w:rStyle w:val="jlqj4b"/>
          <w:rFonts w:eastAsiaTheme="majorEastAsia"/>
          <w:sz w:val="22"/>
          <w:szCs w:val="22"/>
          <w:lang w:val="fr-FR"/>
        </w:rPr>
        <w:t xml:space="preserve"> contribution</w:t>
      </w:r>
      <w:r>
        <w:rPr>
          <w:rStyle w:val="jlqj4b"/>
          <w:rFonts w:eastAsiaTheme="majorEastAsia"/>
          <w:sz w:val="22"/>
          <w:szCs w:val="22"/>
          <w:lang w:val="fr-FR"/>
        </w:rPr>
        <w:t>s viseront les différents secteurs</w:t>
      </w:r>
      <w:r w:rsidR="00696227" w:rsidRPr="00696227">
        <w:rPr>
          <w:rStyle w:val="jlqj4b"/>
          <w:rFonts w:eastAsiaTheme="majorEastAsia"/>
          <w:sz w:val="22"/>
          <w:szCs w:val="22"/>
          <w:lang w:val="fr-FR"/>
        </w:rPr>
        <w:t xml:space="preserve"> en répondant aux </w:t>
      </w:r>
      <w:r>
        <w:rPr>
          <w:rStyle w:val="jlqj4b"/>
          <w:rFonts w:eastAsiaTheme="majorEastAsia"/>
          <w:sz w:val="22"/>
          <w:szCs w:val="22"/>
          <w:lang w:val="fr-FR"/>
        </w:rPr>
        <w:t xml:space="preserve">objectifs 1, 2 et 5 du PMM </w:t>
      </w:r>
      <w:proofErr w:type="gramStart"/>
      <w:r>
        <w:rPr>
          <w:rStyle w:val="jlqj4b"/>
          <w:rFonts w:eastAsiaTheme="majorEastAsia"/>
          <w:sz w:val="22"/>
          <w:szCs w:val="22"/>
          <w:lang w:val="fr-FR"/>
        </w:rPr>
        <w:t xml:space="preserve">et </w:t>
      </w:r>
      <w:r w:rsidR="00696227" w:rsidRPr="00696227">
        <w:rPr>
          <w:rStyle w:val="jlqj4b"/>
          <w:rFonts w:eastAsiaTheme="majorEastAsia"/>
          <w:sz w:val="22"/>
          <w:szCs w:val="22"/>
          <w:lang w:val="fr-FR"/>
        </w:rPr>
        <w:t xml:space="preserve"> </w:t>
      </w:r>
      <w:r>
        <w:rPr>
          <w:rStyle w:val="jlqj4b"/>
          <w:rFonts w:eastAsiaTheme="majorEastAsia"/>
          <w:sz w:val="22"/>
          <w:szCs w:val="22"/>
          <w:lang w:val="fr-FR"/>
        </w:rPr>
        <w:t>traiteront</w:t>
      </w:r>
      <w:proofErr w:type="gramEnd"/>
      <w:r>
        <w:rPr>
          <w:rStyle w:val="jlqj4b"/>
          <w:rFonts w:eastAsiaTheme="majorEastAsia"/>
          <w:sz w:val="22"/>
          <w:szCs w:val="22"/>
          <w:lang w:val="fr-FR"/>
        </w:rPr>
        <w:t xml:space="preserve"> le </w:t>
      </w:r>
      <w:r w:rsidR="00696227" w:rsidRPr="00696227">
        <w:rPr>
          <w:rStyle w:val="jlqj4b"/>
          <w:rFonts w:eastAsiaTheme="majorEastAsia"/>
          <w:sz w:val="22"/>
          <w:szCs w:val="22"/>
          <w:lang w:val="fr-FR"/>
        </w:rPr>
        <w:t>domaine thématique 1 : Veiller à ce que la migration soit volontaire, ordonnée et régulière ;</w:t>
      </w:r>
      <w:r w:rsidR="00696227" w:rsidRPr="00696227">
        <w:rPr>
          <w:rStyle w:val="viiyi"/>
          <w:rFonts w:eastAsiaTheme="majorEastAsia"/>
          <w:sz w:val="22"/>
          <w:szCs w:val="22"/>
          <w:lang w:val="fr-FR"/>
        </w:rPr>
        <w:t xml:space="preserve"> </w:t>
      </w:r>
      <w:r w:rsidR="00696227" w:rsidRPr="00696227">
        <w:rPr>
          <w:rStyle w:val="jlqj4b"/>
          <w:rFonts w:eastAsiaTheme="majorEastAsia"/>
          <w:sz w:val="22"/>
          <w:szCs w:val="22"/>
          <w:lang w:val="fr-FR"/>
        </w:rPr>
        <w:t xml:space="preserve">et </w:t>
      </w:r>
      <w:r>
        <w:rPr>
          <w:rStyle w:val="jlqj4b"/>
          <w:rFonts w:eastAsiaTheme="majorEastAsia"/>
          <w:sz w:val="22"/>
          <w:szCs w:val="22"/>
          <w:lang w:val="fr-FR"/>
        </w:rPr>
        <w:t xml:space="preserve">le </w:t>
      </w:r>
      <w:r>
        <w:rPr>
          <w:rStyle w:val="jlqj4b"/>
          <w:rFonts w:eastAsiaTheme="majorEastAsia"/>
          <w:sz w:val="22"/>
          <w:szCs w:val="22"/>
          <w:lang w:val="fr-FR"/>
        </w:rPr>
        <w:lastRenderedPageBreak/>
        <w:t>d</w:t>
      </w:r>
      <w:r w:rsidR="00696227" w:rsidRPr="00696227">
        <w:rPr>
          <w:rStyle w:val="jlqj4b"/>
          <w:rFonts w:eastAsiaTheme="majorEastAsia"/>
          <w:sz w:val="22"/>
          <w:szCs w:val="22"/>
          <w:lang w:val="fr-FR"/>
        </w:rPr>
        <w:t xml:space="preserve">omaine thématique 4 : Améliorer l'élaboration de politiques fondées sur des valeurs et des preuves et renforcer la coopération en matière de migration. </w:t>
      </w:r>
    </w:p>
    <w:p w:rsidR="00750426" w:rsidRPr="00E6641D" w:rsidRDefault="00750426" w:rsidP="00B4495A">
      <w:pPr>
        <w:spacing w:after="120" w:line="200" w:lineRule="exact"/>
        <w:rPr>
          <w:lang w:val="fr-FR"/>
        </w:rPr>
      </w:pPr>
    </w:p>
    <w:p w:rsidR="003F499C" w:rsidRPr="00123D85" w:rsidRDefault="00696227" w:rsidP="00123D85">
      <w:pPr>
        <w:pStyle w:val="ListParagraph"/>
        <w:numPr>
          <w:ilvl w:val="0"/>
          <w:numId w:val="3"/>
        </w:numPr>
        <w:spacing w:after="120"/>
        <w:ind w:right="7044"/>
        <w:jc w:val="both"/>
        <w:rPr>
          <w:b/>
          <w:sz w:val="22"/>
          <w:szCs w:val="22"/>
          <w:lang w:val="fr-FR"/>
        </w:rPr>
      </w:pPr>
      <w:r w:rsidRPr="00123D85">
        <w:rPr>
          <w:b/>
          <w:sz w:val="22"/>
          <w:szCs w:val="22"/>
          <w:lang w:val="fr-FR"/>
        </w:rPr>
        <w:t xml:space="preserve">Sujets à traiter </w:t>
      </w:r>
    </w:p>
    <w:p w:rsidR="003F499C" w:rsidRPr="00B4495A" w:rsidRDefault="00696227" w:rsidP="00B4495A">
      <w:pPr>
        <w:pStyle w:val="ListParagraph"/>
        <w:numPr>
          <w:ilvl w:val="0"/>
          <w:numId w:val="7"/>
        </w:numPr>
        <w:spacing w:before="26" w:after="120"/>
        <w:ind w:right="75"/>
        <w:jc w:val="both"/>
        <w:rPr>
          <w:rStyle w:val="jlqj4b"/>
          <w:rFonts w:eastAsiaTheme="majorEastAsia"/>
          <w:sz w:val="22"/>
          <w:szCs w:val="22"/>
          <w:lang w:val="fr-FR"/>
        </w:rPr>
      </w:pPr>
      <w:r w:rsidRPr="00B4495A">
        <w:rPr>
          <w:rStyle w:val="jlqj4b"/>
          <w:rFonts w:eastAsiaTheme="majorEastAsia"/>
          <w:sz w:val="22"/>
          <w:szCs w:val="22"/>
          <w:lang w:val="fr-FR"/>
        </w:rPr>
        <w:t>Améliorer les modèles et les données sur la mobilité humaine causée par le climat pour l'élaboration de politiques fondées sur des preuves, y compris des analyses sur la façon dont le changement climatique affecte les modèles de mobilité humaine à la fois à l'intérieur des pays et au-delà des frontières</w:t>
      </w:r>
      <w:r w:rsidR="003F499C" w:rsidRPr="00B4495A">
        <w:rPr>
          <w:rStyle w:val="jlqj4b"/>
          <w:rFonts w:eastAsiaTheme="majorEastAsia"/>
          <w:sz w:val="22"/>
          <w:szCs w:val="22"/>
          <w:lang w:val="fr-FR"/>
        </w:rPr>
        <w:t>.</w:t>
      </w:r>
    </w:p>
    <w:p w:rsidR="00696227" w:rsidRPr="00B4495A" w:rsidRDefault="003F499C" w:rsidP="00B4495A">
      <w:pPr>
        <w:pStyle w:val="ListParagraph"/>
        <w:numPr>
          <w:ilvl w:val="0"/>
          <w:numId w:val="7"/>
        </w:numPr>
        <w:spacing w:before="26" w:after="120"/>
        <w:ind w:right="75"/>
        <w:jc w:val="both"/>
        <w:rPr>
          <w:rStyle w:val="jlqj4b"/>
          <w:rFonts w:eastAsiaTheme="majorEastAsia"/>
          <w:sz w:val="22"/>
          <w:szCs w:val="22"/>
          <w:lang w:val="fr-FR"/>
        </w:rPr>
      </w:pPr>
      <w:r w:rsidRPr="00B4495A">
        <w:rPr>
          <w:rStyle w:val="jlqj4b"/>
          <w:rFonts w:eastAsiaTheme="majorEastAsia"/>
          <w:sz w:val="22"/>
          <w:szCs w:val="22"/>
          <w:lang w:val="fr-FR"/>
        </w:rPr>
        <w:t>Pratiques efficaces de protection des migrants contraints de se déplacer et/ou incapables de rentrer dans le contexte des catastrophes et des effets néfastes du changement climatique, en particulier les femmes migrantes et celles en situation de vulnérabilité.</w:t>
      </w:r>
    </w:p>
    <w:p w:rsidR="003F499C" w:rsidRPr="00B4495A" w:rsidRDefault="003F499C" w:rsidP="00B4495A">
      <w:pPr>
        <w:pStyle w:val="ListParagraph"/>
        <w:numPr>
          <w:ilvl w:val="0"/>
          <w:numId w:val="7"/>
        </w:numPr>
        <w:spacing w:before="26" w:after="120"/>
        <w:ind w:right="75"/>
        <w:jc w:val="both"/>
        <w:rPr>
          <w:rStyle w:val="jlqj4b"/>
          <w:rFonts w:eastAsiaTheme="majorEastAsia"/>
          <w:sz w:val="22"/>
          <w:szCs w:val="22"/>
          <w:lang w:val="fr-FR"/>
        </w:rPr>
      </w:pPr>
      <w:r w:rsidRPr="00B4495A">
        <w:rPr>
          <w:rStyle w:val="jlqj4b"/>
          <w:rFonts w:eastAsiaTheme="majorEastAsia"/>
          <w:sz w:val="22"/>
          <w:szCs w:val="22"/>
          <w:lang w:val="fr-FR"/>
        </w:rPr>
        <w:t>Faciliter une migration sûre, ordonnée et régulière, notamment par la mise en œuvre de cadres politiques nationaux et régionaux en matière de migration.</w:t>
      </w:r>
    </w:p>
    <w:p w:rsidR="003F499C" w:rsidRPr="00B4495A" w:rsidRDefault="003F499C" w:rsidP="00B4495A">
      <w:pPr>
        <w:pStyle w:val="ListParagraph"/>
        <w:numPr>
          <w:ilvl w:val="0"/>
          <w:numId w:val="7"/>
        </w:numPr>
        <w:spacing w:before="26" w:after="120"/>
        <w:ind w:right="75"/>
        <w:jc w:val="both"/>
        <w:rPr>
          <w:rStyle w:val="jlqj4b"/>
          <w:rFonts w:eastAsiaTheme="majorEastAsia"/>
          <w:sz w:val="22"/>
          <w:szCs w:val="22"/>
          <w:lang w:val="fr-FR"/>
        </w:rPr>
      </w:pPr>
      <w:r w:rsidRPr="00B4495A">
        <w:rPr>
          <w:rStyle w:val="jlqj4b"/>
          <w:rFonts w:eastAsiaTheme="majorEastAsia"/>
          <w:sz w:val="22"/>
          <w:szCs w:val="22"/>
          <w:lang w:val="fr-FR"/>
        </w:rPr>
        <w:t xml:space="preserve">Renforcer la résilience et la capacité d'adaptation aux risques et catastrophes liés au climat dans tous les pays, y compris par le biais d'initiatives en cours au niveau national et régional qui ont réussi à relever les défis de la mobilité humaine dans les contextes de catastrophe et de changement climatique. </w:t>
      </w:r>
    </w:p>
    <w:p w:rsidR="003F499C" w:rsidRPr="00B4495A" w:rsidRDefault="003F499C" w:rsidP="00B4495A">
      <w:pPr>
        <w:pStyle w:val="ListParagraph"/>
        <w:numPr>
          <w:ilvl w:val="0"/>
          <w:numId w:val="7"/>
        </w:numPr>
        <w:spacing w:before="26" w:after="120"/>
        <w:ind w:right="75"/>
        <w:jc w:val="both"/>
        <w:rPr>
          <w:rStyle w:val="jlqj4b"/>
          <w:rFonts w:eastAsiaTheme="majorEastAsia"/>
          <w:sz w:val="22"/>
          <w:szCs w:val="22"/>
          <w:lang w:val="fr-FR"/>
        </w:rPr>
      </w:pPr>
      <w:r w:rsidRPr="00B4495A">
        <w:rPr>
          <w:rStyle w:val="jlqj4b"/>
          <w:rFonts w:eastAsiaTheme="majorEastAsia"/>
          <w:sz w:val="22"/>
          <w:szCs w:val="22"/>
          <w:lang w:val="fr-FR"/>
        </w:rPr>
        <w:t>Définir des domaines prioritaires et élaborer des recommandations pour des réponses politiques et programmatiques clés sensibles au genre.</w:t>
      </w:r>
    </w:p>
    <w:p w:rsidR="003F499C" w:rsidRPr="00E6641D" w:rsidRDefault="003F499C" w:rsidP="00B4495A">
      <w:pPr>
        <w:spacing w:before="15" w:after="120"/>
        <w:ind w:right="5028"/>
        <w:rPr>
          <w:rFonts w:ascii="Calibri" w:eastAsia="Calibri" w:hAnsi="Calibri" w:cs="Calibri"/>
          <w:w w:val="99"/>
          <w:lang w:val="fr-FR"/>
        </w:rPr>
      </w:pPr>
    </w:p>
    <w:p w:rsidR="00750426" w:rsidRPr="00123D85" w:rsidRDefault="003F499C" w:rsidP="00123D85">
      <w:pPr>
        <w:pStyle w:val="ListParagraph"/>
        <w:numPr>
          <w:ilvl w:val="0"/>
          <w:numId w:val="3"/>
        </w:numPr>
        <w:spacing w:before="32" w:after="120"/>
        <w:rPr>
          <w:b/>
          <w:sz w:val="22"/>
          <w:szCs w:val="22"/>
          <w:lang w:val="fr-FR"/>
        </w:rPr>
      </w:pPr>
      <w:r w:rsidRPr="00123D85">
        <w:rPr>
          <w:b/>
          <w:sz w:val="22"/>
          <w:szCs w:val="22"/>
          <w:lang w:val="fr-FR"/>
        </w:rPr>
        <w:t xml:space="preserve">Public cible </w:t>
      </w:r>
    </w:p>
    <w:p w:rsidR="00750426" w:rsidRDefault="003F499C" w:rsidP="00123D85">
      <w:pPr>
        <w:spacing w:before="21" w:after="120" w:line="259" w:lineRule="auto"/>
        <w:ind w:right="256"/>
        <w:rPr>
          <w:sz w:val="22"/>
          <w:szCs w:val="22"/>
          <w:lang w:val="fr-FR"/>
        </w:rPr>
      </w:pPr>
      <w:r w:rsidRPr="003F499C">
        <w:rPr>
          <w:rStyle w:val="jlqj4b"/>
          <w:rFonts w:eastAsiaTheme="majorEastAsia"/>
          <w:sz w:val="22"/>
          <w:szCs w:val="22"/>
          <w:lang w:val="fr-FR"/>
        </w:rPr>
        <w:t>Organisations internationales et régionales, gouvernements nationaux et autorités locales, OSC, universités et groupes de réflexion.</w:t>
      </w:r>
      <w:r w:rsidRPr="00E6641D">
        <w:rPr>
          <w:sz w:val="22"/>
          <w:szCs w:val="22"/>
          <w:lang w:val="fr-FR"/>
        </w:rPr>
        <w:t xml:space="preserve"> </w:t>
      </w:r>
    </w:p>
    <w:p w:rsidR="00123D85" w:rsidRPr="00123D85" w:rsidRDefault="00123D85" w:rsidP="00123D85">
      <w:pPr>
        <w:spacing w:before="21" w:after="120" w:line="259" w:lineRule="auto"/>
        <w:ind w:right="256"/>
        <w:rPr>
          <w:sz w:val="22"/>
          <w:szCs w:val="22"/>
          <w:lang w:val="fr-FR"/>
        </w:rPr>
      </w:pPr>
    </w:p>
    <w:p w:rsidR="003F499C" w:rsidRPr="00123D85" w:rsidRDefault="003F499C" w:rsidP="00123D85">
      <w:pPr>
        <w:spacing w:after="120"/>
        <w:rPr>
          <w:b/>
          <w:sz w:val="22"/>
          <w:szCs w:val="22"/>
          <w:lang w:val="fr-FR"/>
        </w:rPr>
      </w:pPr>
      <w:r w:rsidRPr="00123D85">
        <w:rPr>
          <w:b/>
          <w:sz w:val="22"/>
          <w:szCs w:val="22"/>
          <w:lang w:val="fr-FR"/>
        </w:rPr>
        <w:t>7.   L</w:t>
      </w:r>
      <w:r w:rsidR="00330402" w:rsidRPr="00123D85">
        <w:rPr>
          <w:b/>
          <w:sz w:val="22"/>
          <w:szCs w:val="22"/>
          <w:lang w:val="fr-FR"/>
        </w:rPr>
        <w:t>ist</w:t>
      </w:r>
      <w:r w:rsidRPr="00123D85">
        <w:rPr>
          <w:b/>
          <w:sz w:val="22"/>
          <w:szCs w:val="22"/>
          <w:lang w:val="fr-FR"/>
        </w:rPr>
        <w:t xml:space="preserve">e d’orateurs </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 xml:space="preserve">Autorité intergouvernementale pour le développement (IGAD) – Mme Fathia Aboubacar Alwan, Directrice de la santé et du développement social </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 xml:space="preserve">Ministère fédéral allemand de la coopération économique et du développement (BMZ) </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 xml:space="preserve">Programme des Nations Unies pour le développement (PNUD) </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 xml:space="preserve">Commission du bassin du lac Tchad, représentant la région du Sahel et perspectives sur la mobilité humaine transfrontalière induite par le climat </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Le gouvernement du Kenya</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 xml:space="preserve">Plateforme sur le déplacement en cas de catastrophe (PDD) </w:t>
      </w:r>
    </w:p>
    <w:p w:rsidR="003F499C" w:rsidRPr="00B4495A" w:rsidRDefault="003F499C" w:rsidP="00B4495A">
      <w:pPr>
        <w:pStyle w:val="ListParagraph"/>
        <w:numPr>
          <w:ilvl w:val="0"/>
          <w:numId w:val="9"/>
        </w:numPr>
        <w:spacing w:after="120"/>
        <w:rPr>
          <w:rStyle w:val="jlqj4b"/>
          <w:rFonts w:eastAsiaTheme="majorEastAsia"/>
          <w:sz w:val="22"/>
          <w:szCs w:val="22"/>
          <w:lang w:val="fr-FR"/>
        </w:rPr>
      </w:pPr>
      <w:r w:rsidRPr="00B4495A">
        <w:rPr>
          <w:rStyle w:val="jlqj4b"/>
          <w:rFonts w:eastAsiaTheme="majorEastAsia"/>
          <w:sz w:val="22"/>
          <w:szCs w:val="22"/>
          <w:lang w:val="fr-FR"/>
        </w:rPr>
        <w:t xml:space="preserve">Initiative pour la migration climatique en Afrique (ACMI) – Dr. Kamal </w:t>
      </w:r>
      <w:proofErr w:type="spellStart"/>
      <w:r w:rsidRPr="00B4495A">
        <w:rPr>
          <w:rStyle w:val="jlqj4b"/>
          <w:rFonts w:eastAsiaTheme="majorEastAsia"/>
          <w:sz w:val="22"/>
          <w:szCs w:val="22"/>
          <w:lang w:val="fr-FR"/>
        </w:rPr>
        <w:t>Amakrane</w:t>
      </w:r>
      <w:proofErr w:type="spellEnd"/>
      <w:r w:rsidRPr="00B4495A">
        <w:rPr>
          <w:rStyle w:val="jlqj4b"/>
          <w:rFonts w:eastAsiaTheme="majorEastAsia"/>
          <w:sz w:val="22"/>
          <w:szCs w:val="22"/>
          <w:lang w:val="fr-FR"/>
        </w:rPr>
        <w:t xml:space="preserve">, responsable </w:t>
      </w:r>
    </w:p>
    <w:p w:rsidR="00750426" w:rsidRPr="00123D85" w:rsidRDefault="003F499C" w:rsidP="00123D85">
      <w:pPr>
        <w:pStyle w:val="ListParagraph"/>
        <w:numPr>
          <w:ilvl w:val="0"/>
          <w:numId w:val="9"/>
        </w:numPr>
        <w:spacing w:after="120"/>
        <w:rPr>
          <w:rStyle w:val="jlqj4b"/>
          <w:sz w:val="22"/>
          <w:szCs w:val="22"/>
          <w:lang w:val="fr-FR"/>
        </w:rPr>
      </w:pPr>
      <w:r w:rsidRPr="00B4495A">
        <w:rPr>
          <w:rStyle w:val="jlqj4b"/>
          <w:rFonts w:eastAsiaTheme="majorEastAsia"/>
          <w:sz w:val="22"/>
          <w:szCs w:val="22"/>
          <w:lang w:val="fr-FR"/>
        </w:rPr>
        <w:t xml:space="preserve">Représentant des organisations de la société civile/communautés des régions frontalières (de l'initiative transfrontalière dans le cluster </w:t>
      </w:r>
      <w:proofErr w:type="spellStart"/>
      <w:r w:rsidRPr="00B4495A">
        <w:rPr>
          <w:rStyle w:val="jlqj4b"/>
          <w:rFonts w:eastAsiaTheme="majorEastAsia"/>
          <w:sz w:val="22"/>
          <w:szCs w:val="22"/>
          <w:lang w:val="fr-FR"/>
        </w:rPr>
        <w:t>Karamoja</w:t>
      </w:r>
      <w:proofErr w:type="spellEnd"/>
      <w:r w:rsidRPr="00B4495A">
        <w:rPr>
          <w:rStyle w:val="jlqj4b"/>
          <w:rFonts w:eastAsiaTheme="majorEastAsia"/>
          <w:sz w:val="22"/>
          <w:szCs w:val="22"/>
          <w:lang w:val="fr-FR"/>
        </w:rPr>
        <w:t>)</w:t>
      </w:r>
    </w:p>
    <w:p w:rsidR="00123D85" w:rsidRPr="00123D85" w:rsidRDefault="00123D85" w:rsidP="00123D85">
      <w:pPr>
        <w:pStyle w:val="ListParagraph"/>
        <w:spacing w:after="120"/>
        <w:ind w:left="473"/>
        <w:rPr>
          <w:sz w:val="22"/>
          <w:szCs w:val="22"/>
          <w:lang w:val="fr-FR"/>
        </w:rPr>
      </w:pPr>
    </w:p>
    <w:p w:rsidR="00750426" w:rsidRPr="00123D85" w:rsidRDefault="003F499C" w:rsidP="00123D85">
      <w:pPr>
        <w:pStyle w:val="ListParagraph"/>
        <w:numPr>
          <w:ilvl w:val="0"/>
          <w:numId w:val="15"/>
        </w:numPr>
        <w:spacing w:after="120"/>
        <w:rPr>
          <w:sz w:val="22"/>
          <w:szCs w:val="22"/>
          <w:lang w:val="fr-FR"/>
        </w:rPr>
      </w:pPr>
      <w:r w:rsidRPr="00123D85">
        <w:rPr>
          <w:rStyle w:val="jlqj4b"/>
          <w:rFonts w:eastAsiaTheme="majorEastAsia"/>
          <w:b/>
          <w:sz w:val="22"/>
          <w:szCs w:val="22"/>
          <w:lang w:val="fr-FR"/>
        </w:rPr>
        <w:t>La session engage-t-elle de nouvelles parties prenantes dans la mise en œuvre, le suivi et l'examen du Pacte mondial ?</w:t>
      </w:r>
    </w:p>
    <w:p w:rsidR="003F499C" w:rsidRDefault="003F499C" w:rsidP="00123D85">
      <w:pPr>
        <w:spacing w:before="14" w:after="120" w:line="260" w:lineRule="exact"/>
        <w:ind w:left="113"/>
        <w:rPr>
          <w:rStyle w:val="jlqj4b"/>
          <w:rFonts w:eastAsiaTheme="majorEastAsia"/>
          <w:sz w:val="22"/>
          <w:szCs w:val="22"/>
          <w:lang w:val="fr-FR"/>
        </w:rPr>
      </w:pPr>
      <w:r w:rsidRPr="003F499C">
        <w:rPr>
          <w:rStyle w:val="jlqj4b"/>
          <w:rFonts w:eastAsiaTheme="majorEastAsia"/>
          <w:sz w:val="22"/>
          <w:szCs w:val="22"/>
          <w:lang w:val="fr-FR"/>
        </w:rPr>
        <w:t>La session visera à avoir des représentants des OSC et des communautés affectées, y compris des zones transfrontalières.</w:t>
      </w:r>
    </w:p>
    <w:p w:rsidR="00123D85" w:rsidRPr="00123D85" w:rsidRDefault="00123D85" w:rsidP="00123D85">
      <w:pPr>
        <w:spacing w:before="14" w:after="120" w:line="260" w:lineRule="exact"/>
        <w:ind w:left="113"/>
        <w:rPr>
          <w:rFonts w:eastAsiaTheme="majorEastAsia"/>
          <w:sz w:val="22"/>
          <w:szCs w:val="22"/>
          <w:lang w:val="fr-FR"/>
        </w:rPr>
      </w:pPr>
    </w:p>
    <w:p w:rsidR="00750426" w:rsidRPr="00E6641D" w:rsidRDefault="00330402" w:rsidP="00B4495A">
      <w:pPr>
        <w:spacing w:after="120"/>
        <w:ind w:left="113"/>
        <w:rPr>
          <w:sz w:val="22"/>
          <w:szCs w:val="22"/>
          <w:lang w:val="fr-FR"/>
        </w:rPr>
      </w:pPr>
      <w:r w:rsidRPr="00E6641D">
        <w:rPr>
          <w:b/>
          <w:sz w:val="22"/>
          <w:szCs w:val="22"/>
          <w:lang w:val="fr-FR"/>
        </w:rPr>
        <w:t xml:space="preserve">9.    </w:t>
      </w:r>
      <w:r w:rsidR="003F499C" w:rsidRPr="003F499C">
        <w:rPr>
          <w:rStyle w:val="jlqj4b"/>
          <w:rFonts w:eastAsiaTheme="majorEastAsia"/>
          <w:b/>
          <w:sz w:val="22"/>
          <w:szCs w:val="22"/>
          <w:lang w:val="fr-FR"/>
        </w:rPr>
        <w:t>Partenaire(s) organisateur(s)</w:t>
      </w:r>
      <w:r w:rsidR="003F499C" w:rsidRPr="00E6641D">
        <w:rPr>
          <w:lang w:val="fr-FR"/>
        </w:rPr>
        <w:t xml:space="preserve"> </w:t>
      </w:r>
    </w:p>
    <w:p w:rsidR="00750426" w:rsidRPr="00E6641D" w:rsidRDefault="006D2FA3" w:rsidP="00FF7C5D">
      <w:pPr>
        <w:spacing w:before="20" w:after="120"/>
        <w:ind w:left="113"/>
        <w:rPr>
          <w:sz w:val="22"/>
          <w:szCs w:val="22"/>
          <w:lang w:val="fr-FR"/>
        </w:rPr>
      </w:pPr>
      <w:r w:rsidRPr="00E6641D">
        <w:rPr>
          <w:sz w:val="22"/>
          <w:szCs w:val="22"/>
          <w:lang w:val="fr-FR"/>
        </w:rPr>
        <w:t>Partenaire</w:t>
      </w:r>
      <w:r w:rsidR="00A7051F" w:rsidRPr="00E6641D">
        <w:rPr>
          <w:sz w:val="22"/>
          <w:szCs w:val="22"/>
          <w:lang w:val="fr-FR"/>
        </w:rPr>
        <w:t>s</w:t>
      </w:r>
      <w:r w:rsidRPr="00E6641D">
        <w:rPr>
          <w:sz w:val="22"/>
          <w:szCs w:val="22"/>
          <w:lang w:val="fr-FR"/>
        </w:rPr>
        <w:t xml:space="preserve"> de projets </w:t>
      </w:r>
      <w:r w:rsidR="00330402" w:rsidRPr="00E6641D">
        <w:rPr>
          <w:sz w:val="22"/>
          <w:szCs w:val="22"/>
          <w:lang w:val="fr-FR"/>
        </w:rPr>
        <w:t xml:space="preserve">IGAD, </w:t>
      </w:r>
      <w:r w:rsidRPr="00E6641D">
        <w:rPr>
          <w:sz w:val="22"/>
          <w:szCs w:val="22"/>
          <w:lang w:val="fr-FR"/>
        </w:rPr>
        <w:t>PNUD</w:t>
      </w:r>
      <w:r w:rsidR="00330402" w:rsidRPr="00E6641D">
        <w:rPr>
          <w:sz w:val="22"/>
          <w:szCs w:val="22"/>
          <w:lang w:val="fr-FR"/>
        </w:rPr>
        <w:t xml:space="preserve">, PDD, </w:t>
      </w:r>
      <w:r w:rsidRPr="00E6641D">
        <w:rPr>
          <w:sz w:val="22"/>
          <w:szCs w:val="22"/>
          <w:lang w:val="fr-FR"/>
        </w:rPr>
        <w:t xml:space="preserve">MPTF </w:t>
      </w:r>
      <w:r w:rsidR="003F499C" w:rsidRPr="00E6641D">
        <w:rPr>
          <w:sz w:val="22"/>
          <w:szCs w:val="22"/>
          <w:lang w:val="fr-FR"/>
        </w:rPr>
        <w:t xml:space="preserve"> </w:t>
      </w:r>
    </w:p>
    <w:p w:rsidR="00A7051F" w:rsidRPr="00E6641D" w:rsidRDefault="00A7051F" w:rsidP="00B4495A">
      <w:pPr>
        <w:spacing w:before="20" w:after="120"/>
        <w:ind w:left="473"/>
        <w:rPr>
          <w:sz w:val="22"/>
          <w:szCs w:val="22"/>
          <w:lang w:val="fr-FR"/>
        </w:rPr>
      </w:pPr>
    </w:p>
    <w:p w:rsidR="00A7051F" w:rsidRPr="00E6641D" w:rsidRDefault="00A7051F" w:rsidP="00B4495A">
      <w:pPr>
        <w:spacing w:before="20" w:after="120"/>
        <w:ind w:left="473"/>
        <w:rPr>
          <w:sz w:val="22"/>
          <w:szCs w:val="22"/>
          <w:lang w:val="fr-FR"/>
        </w:rPr>
      </w:pPr>
    </w:p>
    <w:p w:rsidR="00750426" w:rsidRPr="00E6641D" w:rsidRDefault="00330402" w:rsidP="00FF7C5D">
      <w:pPr>
        <w:spacing w:after="120"/>
        <w:ind w:left="113"/>
        <w:rPr>
          <w:sz w:val="22"/>
          <w:szCs w:val="22"/>
          <w:lang w:val="fr-FR"/>
        </w:rPr>
      </w:pPr>
      <w:r w:rsidRPr="00E6641D">
        <w:rPr>
          <w:b/>
          <w:sz w:val="22"/>
          <w:szCs w:val="22"/>
          <w:lang w:val="fr-FR"/>
        </w:rPr>
        <w:t xml:space="preserve">10.  </w:t>
      </w:r>
      <w:r w:rsidR="006D2FA3" w:rsidRPr="00E6641D">
        <w:rPr>
          <w:b/>
          <w:sz w:val="22"/>
          <w:szCs w:val="22"/>
          <w:lang w:val="fr-FR"/>
        </w:rPr>
        <w:t xml:space="preserve">Point focal </w:t>
      </w:r>
      <w:proofErr w:type="gramStart"/>
      <w:r w:rsidR="006D2FA3" w:rsidRPr="00E6641D">
        <w:rPr>
          <w:b/>
          <w:sz w:val="22"/>
          <w:szCs w:val="22"/>
          <w:lang w:val="fr-FR"/>
        </w:rPr>
        <w:t xml:space="preserve">principal </w:t>
      </w:r>
      <w:r w:rsidRPr="00E6641D">
        <w:rPr>
          <w:b/>
          <w:sz w:val="22"/>
          <w:szCs w:val="22"/>
          <w:lang w:val="fr-FR"/>
        </w:rPr>
        <w:t xml:space="preserve"> (</w:t>
      </w:r>
      <w:proofErr w:type="gramEnd"/>
      <w:r w:rsidR="006D2FA3" w:rsidRPr="00E6641D">
        <w:rPr>
          <w:b/>
          <w:sz w:val="22"/>
          <w:szCs w:val="22"/>
          <w:lang w:val="fr-FR"/>
        </w:rPr>
        <w:t xml:space="preserve">un seul </w:t>
      </w:r>
      <w:r w:rsidRPr="00E6641D">
        <w:rPr>
          <w:b/>
          <w:sz w:val="22"/>
          <w:szCs w:val="22"/>
          <w:lang w:val="fr-FR"/>
        </w:rPr>
        <w:t>)</w:t>
      </w:r>
    </w:p>
    <w:p w:rsidR="00750426" w:rsidRPr="00E6641D" w:rsidRDefault="00330402" w:rsidP="00FF7C5D">
      <w:pPr>
        <w:spacing w:before="20" w:after="120" w:line="259" w:lineRule="auto"/>
        <w:ind w:left="113" w:right="255"/>
        <w:rPr>
          <w:sz w:val="22"/>
          <w:szCs w:val="22"/>
          <w:lang w:val="fr-FR"/>
        </w:rPr>
      </w:pPr>
      <w:proofErr w:type="gramStart"/>
      <w:r w:rsidRPr="00E6641D">
        <w:rPr>
          <w:sz w:val="22"/>
          <w:szCs w:val="22"/>
          <w:lang w:val="fr-FR"/>
        </w:rPr>
        <w:t>Lena  Brenn</w:t>
      </w:r>
      <w:proofErr w:type="gramEnd"/>
      <w:r w:rsidRPr="00E6641D">
        <w:rPr>
          <w:sz w:val="22"/>
          <w:szCs w:val="22"/>
          <w:lang w:val="fr-FR"/>
        </w:rPr>
        <w:t xml:space="preserve">-IGAD  </w:t>
      </w:r>
      <w:r w:rsidR="00A7051F" w:rsidRPr="00A7051F">
        <w:rPr>
          <w:rStyle w:val="jlqj4b"/>
          <w:rFonts w:eastAsiaTheme="majorEastAsia"/>
          <w:sz w:val="22"/>
          <w:szCs w:val="22"/>
          <w:lang w:val="fr-FR"/>
        </w:rPr>
        <w:t>Conseill</w:t>
      </w:r>
      <w:r w:rsidR="00A7051F">
        <w:rPr>
          <w:rStyle w:val="jlqj4b"/>
          <w:rFonts w:eastAsiaTheme="majorEastAsia"/>
          <w:sz w:val="22"/>
          <w:szCs w:val="22"/>
          <w:lang w:val="fr-FR"/>
        </w:rPr>
        <w:t>è</w:t>
      </w:r>
      <w:r w:rsidR="00A7051F" w:rsidRPr="00A7051F">
        <w:rPr>
          <w:rStyle w:val="jlqj4b"/>
          <w:rFonts w:eastAsiaTheme="majorEastAsia"/>
          <w:sz w:val="22"/>
          <w:szCs w:val="22"/>
          <w:lang w:val="fr-FR"/>
        </w:rPr>
        <w:t>r</w:t>
      </w:r>
      <w:r w:rsidR="00A7051F">
        <w:rPr>
          <w:rStyle w:val="jlqj4b"/>
          <w:rFonts w:eastAsiaTheme="majorEastAsia"/>
          <w:sz w:val="22"/>
          <w:szCs w:val="22"/>
          <w:lang w:val="fr-FR"/>
        </w:rPr>
        <w:t>e</w:t>
      </w:r>
      <w:r w:rsidR="00A7051F" w:rsidRPr="00A7051F">
        <w:rPr>
          <w:rStyle w:val="jlqj4b"/>
          <w:rFonts w:eastAsiaTheme="majorEastAsia"/>
          <w:sz w:val="22"/>
          <w:szCs w:val="22"/>
          <w:lang w:val="fr-FR"/>
        </w:rPr>
        <w:t xml:space="preserve"> en déplacement en cas de catastrophe</w:t>
      </w:r>
      <w:r w:rsidR="00A7051F">
        <w:rPr>
          <w:rStyle w:val="jlqj4b"/>
          <w:rFonts w:eastAsiaTheme="majorEastAsia"/>
          <w:lang w:val="fr-FR"/>
        </w:rPr>
        <w:t xml:space="preserve"> </w:t>
      </w:r>
      <w:r w:rsidRPr="00E6641D">
        <w:rPr>
          <w:sz w:val="22"/>
          <w:szCs w:val="22"/>
          <w:lang w:val="fr-FR"/>
        </w:rPr>
        <w:t>(</w:t>
      </w:r>
      <w:hyperlink r:id="rId7">
        <w:r w:rsidRPr="00E6641D">
          <w:rPr>
            <w:color w:val="0462C1"/>
            <w:sz w:val="22"/>
            <w:szCs w:val="22"/>
            <w:u w:val="single" w:color="0462C1"/>
            <w:lang w:val="fr-FR"/>
          </w:rPr>
          <w:t>lena.brenn@igad.int</w:t>
        </w:r>
        <w:r w:rsidRPr="00E6641D">
          <w:rPr>
            <w:color w:val="000000"/>
            <w:sz w:val="22"/>
            <w:szCs w:val="22"/>
            <w:lang w:val="fr-FR"/>
          </w:rPr>
          <w:t xml:space="preserve">);  Hyewon  Jung  </w:t>
        </w:r>
      </w:hyperlink>
      <w:r w:rsidRPr="00E6641D">
        <w:rPr>
          <w:color w:val="000000"/>
          <w:sz w:val="22"/>
          <w:szCs w:val="22"/>
          <w:lang w:val="fr-FR"/>
        </w:rPr>
        <w:t xml:space="preserve">–  </w:t>
      </w:r>
      <w:r w:rsidR="00A7051F" w:rsidRPr="00A7051F">
        <w:rPr>
          <w:rStyle w:val="jlqj4b"/>
          <w:rFonts w:eastAsiaTheme="majorEastAsia"/>
          <w:sz w:val="22"/>
          <w:szCs w:val="22"/>
          <w:lang w:val="fr-FR"/>
        </w:rPr>
        <w:t>Conseiller régional du PNUD en mobilité humaine</w:t>
      </w:r>
      <w:r w:rsidRPr="00E6641D">
        <w:rPr>
          <w:color w:val="000000"/>
          <w:sz w:val="22"/>
          <w:szCs w:val="22"/>
          <w:lang w:val="fr-FR"/>
        </w:rPr>
        <w:t xml:space="preserve"> (</w:t>
      </w:r>
      <w:hyperlink r:id="rId8">
        <w:r w:rsidRPr="00E6641D">
          <w:rPr>
            <w:color w:val="0462C1"/>
            <w:sz w:val="22"/>
            <w:szCs w:val="22"/>
            <w:u w:val="single" w:color="0462C1"/>
            <w:lang w:val="fr-FR"/>
          </w:rPr>
          <w:t>hyewon.jung@undp.org</w:t>
        </w:r>
        <w:r w:rsidRPr="00E6641D">
          <w:rPr>
            <w:color w:val="000000"/>
            <w:sz w:val="22"/>
            <w:szCs w:val="22"/>
            <w:lang w:val="fr-FR"/>
          </w:rPr>
          <w:t>)</w:t>
        </w:r>
      </w:hyperlink>
    </w:p>
    <w:p w:rsidR="00750426" w:rsidRPr="00E6641D" w:rsidRDefault="00750426" w:rsidP="00B4495A">
      <w:pPr>
        <w:spacing w:before="20" w:after="120" w:line="220" w:lineRule="exact"/>
        <w:rPr>
          <w:sz w:val="22"/>
          <w:szCs w:val="22"/>
          <w:lang w:val="fr-FR"/>
        </w:rPr>
      </w:pPr>
    </w:p>
    <w:p w:rsidR="00750426" w:rsidRDefault="00330402" w:rsidP="00B4495A">
      <w:pPr>
        <w:spacing w:before="32" w:after="120"/>
        <w:ind w:left="113"/>
        <w:rPr>
          <w:rStyle w:val="jlqj4b"/>
          <w:rFonts w:eastAsiaTheme="majorEastAsia"/>
          <w:b/>
          <w:sz w:val="22"/>
          <w:szCs w:val="22"/>
          <w:lang w:val="fr-FR"/>
        </w:rPr>
      </w:pPr>
      <w:r w:rsidRPr="00E6641D">
        <w:rPr>
          <w:b/>
          <w:sz w:val="22"/>
          <w:szCs w:val="22"/>
          <w:lang w:val="fr-FR"/>
        </w:rPr>
        <w:t xml:space="preserve">11.  </w:t>
      </w:r>
      <w:r w:rsidR="00A7051F" w:rsidRPr="00A7051F">
        <w:rPr>
          <w:rStyle w:val="jlqj4b"/>
          <w:rFonts w:eastAsiaTheme="majorEastAsia"/>
          <w:b/>
          <w:sz w:val="22"/>
          <w:szCs w:val="22"/>
          <w:lang w:val="fr-FR"/>
        </w:rPr>
        <w:t>Plateforme de réunion en ligne à utiliser (doit permettre l'interprétation en direct)</w:t>
      </w:r>
    </w:p>
    <w:p w:rsidR="00A7051F" w:rsidRPr="00E6641D" w:rsidRDefault="00A7051F" w:rsidP="00FF7C5D">
      <w:pPr>
        <w:spacing w:before="32" w:after="120"/>
        <w:ind w:left="113"/>
        <w:rPr>
          <w:sz w:val="22"/>
          <w:szCs w:val="22"/>
          <w:lang w:val="fr-FR"/>
        </w:rPr>
      </w:pPr>
      <w:r w:rsidRPr="00A7051F">
        <w:rPr>
          <w:rStyle w:val="jlqj4b"/>
          <w:rFonts w:eastAsiaTheme="majorEastAsia"/>
          <w:sz w:val="22"/>
          <w:szCs w:val="22"/>
          <w:lang w:val="fr-FR"/>
        </w:rPr>
        <w:t>L'IGAD et le PNUD fourniront un lien zoom</w:t>
      </w:r>
      <w:r w:rsidR="00D66AF7">
        <w:rPr>
          <w:rStyle w:val="jlqj4b"/>
          <w:rFonts w:eastAsiaTheme="majorEastAsia"/>
          <w:sz w:val="22"/>
          <w:szCs w:val="22"/>
          <w:lang w:val="fr-FR"/>
        </w:rPr>
        <w:t xml:space="preserve"> et l</w:t>
      </w:r>
      <w:r w:rsidR="0076464E">
        <w:rPr>
          <w:rStyle w:val="jlqj4b"/>
          <w:rFonts w:eastAsiaTheme="majorEastAsia"/>
          <w:sz w:val="22"/>
          <w:szCs w:val="22"/>
          <w:lang w:val="fr-FR"/>
        </w:rPr>
        <w:t xml:space="preserve">a session se déroulera en anglais avec de </w:t>
      </w:r>
      <w:proofErr w:type="gramStart"/>
      <w:r w:rsidR="0076464E">
        <w:rPr>
          <w:rStyle w:val="jlqj4b"/>
          <w:rFonts w:eastAsiaTheme="majorEastAsia"/>
          <w:sz w:val="22"/>
          <w:szCs w:val="22"/>
          <w:lang w:val="fr-FR"/>
        </w:rPr>
        <w:t>l’ interprétation</w:t>
      </w:r>
      <w:proofErr w:type="gramEnd"/>
      <w:r w:rsidR="0076464E">
        <w:rPr>
          <w:rStyle w:val="jlqj4b"/>
          <w:rFonts w:eastAsiaTheme="majorEastAsia"/>
          <w:sz w:val="22"/>
          <w:szCs w:val="22"/>
          <w:lang w:val="fr-FR"/>
        </w:rPr>
        <w:t xml:space="preserve"> simultanée vers le français.</w:t>
      </w:r>
    </w:p>
    <w:sectPr w:rsidR="00A7051F" w:rsidRPr="00E6641D" w:rsidSect="00FF7C5D">
      <w:headerReference w:type="default" r:id="rId9"/>
      <w:footerReference w:type="default" r:id="rId10"/>
      <w:pgSz w:w="11906" w:h="16838" w:code="9"/>
      <w:pgMar w:top="1440" w:right="840" w:bottom="280" w:left="13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B7" w:rsidRDefault="002F33B7" w:rsidP="00E6641D">
      <w:r>
        <w:separator/>
      </w:r>
    </w:p>
  </w:endnote>
  <w:endnote w:type="continuationSeparator" w:id="0">
    <w:p w:rsidR="002F33B7" w:rsidRDefault="002F33B7" w:rsidP="00E6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9041511"/>
      <w:docPartObj>
        <w:docPartGallery w:val="Page Numbers (Bottom of Page)"/>
        <w:docPartUnique/>
      </w:docPartObj>
    </w:sdtPr>
    <w:sdtEndPr>
      <w:rPr>
        <w:noProof/>
      </w:rPr>
    </w:sdtEndPr>
    <w:sdtContent>
      <w:p w:rsidR="00FF7C5D" w:rsidRDefault="00FF7C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F7C5D" w:rsidRDefault="00FF7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B7" w:rsidRDefault="002F33B7" w:rsidP="00E6641D">
      <w:r>
        <w:separator/>
      </w:r>
    </w:p>
  </w:footnote>
  <w:footnote w:type="continuationSeparator" w:id="0">
    <w:p w:rsidR="002F33B7" w:rsidRDefault="002F33B7" w:rsidP="00E66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41D" w:rsidRDefault="00E6641D" w:rsidP="00E6641D">
    <w:pPr>
      <w:pStyle w:val="Header"/>
      <w:rPr>
        <w:noProof/>
      </w:rPr>
    </w:pPr>
    <w:r>
      <w:rPr>
        <w:noProof/>
      </w:rPr>
      <w:drawing>
        <wp:anchor distT="0" distB="0" distL="114300" distR="114300" simplePos="0" relativeHeight="251667456" behindDoc="0" locked="0" layoutInCell="1" allowOverlap="1" wp14:anchorId="03FA1EA9" wp14:editId="2D76FE68">
          <wp:simplePos x="0" y="0"/>
          <wp:positionH relativeFrom="margin">
            <wp:posOffset>4083050</wp:posOffset>
          </wp:positionH>
          <wp:positionV relativeFrom="paragraph">
            <wp:posOffset>90805</wp:posOffset>
          </wp:positionV>
          <wp:extent cx="1574800" cy="787400"/>
          <wp:effectExtent l="0" t="0" r="6350" b="0"/>
          <wp:wrapThrough wrapText="bothSides">
            <wp:wrapPolygon edited="0">
              <wp:start x="0" y="0"/>
              <wp:lineTo x="0" y="20903"/>
              <wp:lineTo x="21426" y="20903"/>
              <wp:lineTo x="21426" y="0"/>
              <wp:lineTo x="0" y="0"/>
            </wp:wrapPolygon>
          </wp:wrapThrough>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787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0" locked="0" layoutInCell="1" allowOverlap="1" wp14:anchorId="561C6367" wp14:editId="1A1E461B">
          <wp:simplePos x="0" y="0"/>
          <wp:positionH relativeFrom="column">
            <wp:posOffset>2460625</wp:posOffset>
          </wp:positionH>
          <wp:positionV relativeFrom="paragraph">
            <wp:posOffset>-50165</wp:posOffset>
          </wp:positionV>
          <wp:extent cx="869950" cy="1097280"/>
          <wp:effectExtent l="0" t="0" r="635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3099"/>
                  <a:stretch/>
                </pic:blipFill>
                <pic:spPr bwMode="auto">
                  <a:xfrm>
                    <a:off x="0" y="0"/>
                    <a:ext cx="869950" cy="1097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C44B3">
      <w:rPr>
        <w:noProof/>
      </w:rPr>
      <w:drawing>
        <wp:anchor distT="0" distB="0" distL="114300" distR="114300" simplePos="0" relativeHeight="251686912" behindDoc="0" locked="0" layoutInCell="1" allowOverlap="1" wp14:anchorId="490A9A6C" wp14:editId="36D2F561">
          <wp:simplePos x="0" y="0"/>
          <wp:positionH relativeFrom="column">
            <wp:posOffset>825500</wp:posOffset>
          </wp:positionH>
          <wp:positionV relativeFrom="paragraph">
            <wp:posOffset>8890</wp:posOffset>
          </wp:positionV>
          <wp:extent cx="457200" cy="925195"/>
          <wp:effectExtent l="0" t="0" r="0" b="8255"/>
          <wp:wrapThrough wrapText="bothSides">
            <wp:wrapPolygon edited="0">
              <wp:start x="0" y="0"/>
              <wp:lineTo x="0" y="21348"/>
              <wp:lineTo x="20700" y="21348"/>
              <wp:lineTo x="20700" y="0"/>
              <wp:lineTo x="0" y="0"/>
            </wp:wrapPolygon>
          </wp:wrapThrough>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457200" cy="925195"/>
                  </a:xfrm>
                  <a:prstGeom prst="rect">
                    <a:avLst/>
                  </a:prstGeom>
                </pic:spPr>
              </pic:pic>
            </a:graphicData>
          </a:graphic>
        </wp:anchor>
      </w:drawing>
    </w:r>
  </w:p>
  <w:p w:rsidR="00E6641D" w:rsidRDefault="00E6641D" w:rsidP="00E6641D">
    <w:pPr>
      <w:pStyle w:val="Header"/>
      <w:rPr>
        <w:noProof/>
      </w:rPr>
    </w:pPr>
    <w:r>
      <w:t xml:space="preserve">                                                                                                        </w:t>
    </w:r>
  </w:p>
  <w:p w:rsidR="00E6641D" w:rsidRDefault="00E6641D" w:rsidP="00E6641D">
    <w:pPr>
      <w:pStyle w:val="Header"/>
      <w:rPr>
        <w:noProof/>
      </w:rPr>
    </w:pPr>
  </w:p>
  <w:p w:rsidR="00E6641D" w:rsidRDefault="00E6641D" w:rsidP="00E6641D">
    <w:pPr>
      <w:pStyle w:val="Header"/>
      <w:rPr>
        <w:noProof/>
      </w:rPr>
    </w:pPr>
  </w:p>
  <w:p w:rsidR="00E6641D" w:rsidRDefault="00E6641D" w:rsidP="00E6641D">
    <w:pPr>
      <w:pStyle w:val="Header"/>
      <w:rPr>
        <w:noProof/>
      </w:rPr>
    </w:pPr>
  </w:p>
  <w:p w:rsidR="00E6641D" w:rsidRDefault="00E6641D" w:rsidP="00E6641D">
    <w:pPr>
      <w:pStyle w:val="Header"/>
      <w:rPr>
        <w:noProof/>
      </w:rPr>
    </w:pPr>
  </w:p>
  <w:p w:rsidR="00E6641D" w:rsidRDefault="00E6641D" w:rsidP="00E6641D">
    <w:pPr>
      <w:pStyle w:val="Header"/>
      <w:rPr>
        <w:noProof/>
      </w:rPr>
    </w:pPr>
  </w:p>
  <w:p w:rsidR="00E6641D" w:rsidRDefault="00E6641D" w:rsidP="00E6641D">
    <w:pPr>
      <w:pStyle w:val="Header"/>
    </w:pPr>
  </w:p>
  <w:p w:rsidR="00B4495A" w:rsidRPr="00E6641D" w:rsidRDefault="00B4495A" w:rsidP="00E66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6511F"/>
    <w:multiLevelType w:val="hybridMultilevel"/>
    <w:tmpl w:val="B9F0BFBC"/>
    <w:lvl w:ilvl="0" w:tplc="08090001">
      <w:start w:val="1"/>
      <w:numFmt w:val="bullet"/>
      <w:lvlText w:val=""/>
      <w:lvlJc w:val="left"/>
      <w:pPr>
        <w:ind w:left="473" w:hanging="360"/>
      </w:pPr>
      <w:rPr>
        <w:rFonts w:ascii="Symbol" w:hAnsi="Symbo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 w15:restartNumberingAfterBreak="0">
    <w:nsid w:val="03C13C4F"/>
    <w:multiLevelType w:val="hybridMultilevel"/>
    <w:tmpl w:val="ABCA058E"/>
    <w:lvl w:ilvl="0" w:tplc="DFBCEB36">
      <w:start w:val="8"/>
      <w:numFmt w:val="decimal"/>
      <w:lvlText w:val="%1."/>
      <w:lvlJc w:val="left"/>
      <w:pPr>
        <w:ind w:left="568" w:hanging="360"/>
      </w:pPr>
      <w:rPr>
        <w:rFonts w:hint="default"/>
        <w:b/>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2" w15:restartNumberingAfterBreak="0">
    <w:nsid w:val="0DA81595"/>
    <w:multiLevelType w:val="hybridMultilevel"/>
    <w:tmpl w:val="49FEE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FD145E"/>
    <w:multiLevelType w:val="hybridMultilevel"/>
    <w:tmpl w:val="CE0C54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C025A0"/>
    <w:multiLevelType w:val="hybridMultilevel"/>
    <w:tmpl w:val="25129D7A"/>
    <w:lvl w:ilvl="0" w:tplc="0809000F">
      <w:start w:val="1"/>
      <w:numFmt w:val="decimal"/>
      <w:lvlText w:val="%1."/>
      <w:lvlJc w:val="left"/>
      <w:pPr>
        <w:ind w:left="1013" w:hanging="360"/>
      </w:pPr>
    </w:lvl>
    <w:lvl w:ilvl="1" w:tplc="08090019" w:tentative="1">
      <w:start w:val="1"/>
      <w:numFmt w:val="lowerLetter"/>
      <w:lvlText w:val="%2."/>
      <w:lvlJc w:val="left"/>
      <w:pPr>
        <w:ind w:left="173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3173" w:hanging="360"/>
      </w:pPr>
    </w:lvl>
    <w:lvl w:ilvl="4" w:tplc="08090019" w:tentative="1">
      <w:start w:val="1"/>
      <w:numFmt w:val="lowerLetter"/>
      <w:lvlText w:val="%5."/>
      <w:lvlJc w:val="left"/>
      <w:pPr>
        <w:ind w:left="3893" w:hanging="360"/>
      </w:pPr>
    </w:lvl>
    <w:lvl w:ilvl="5" w:tplc="0809001B" w:tentative="1">
      <w:start w:val="1"/>
      <w:numFmt w:val="lowerRoman"/>
      <w:lvlText w:val="%6."/>
      <w:lvlJc w:val="right"/>
      <w:pPr>
        <w:ind w:left="4613" w:hanging="180"/>
      </w:pPr>
    </w:lvl>
    <w:lvl w:ilvl="6" w:tplc="0809000F" w:tentative="1">
      <w:start w:val="1"/>
      <w:numFmt w:val="decimal"/>
      <w:lvlText w:val="%7."/>
      <w:lvlJc w:val="left"/>
      <w:pPr>
        <w:ind w:left="5333" w:hanging="360"/>
      </w:pPr>
    </w:lvl>
    <w:lvl w:ilvl="7" w:tplc="08090019" w:tentative="1">
      <w:start w:val="1"/>
      <w:numFmt w:val="lowerLetter"/>
      <w:lvlText w:val="%8."/>
      <w:lvlJc w:val="left"/>
      <w:pPr>
        <w:ind w:left="6053" w:hanging="360"/>
      </w:pPr>
    </w:lvl>
    <w:lvl w:ilvl="8" w:tplc="0809001B" w:tentative="1">
      <w:start w:val="1"/>
      <w:numFmt w:val="lowerRoman"/>
      <w:lvlText w:val="%9."/>
      <w:lvlJc w:val="right"/>
      <w:pPr>
        <w:ind w:left="6773" w:hanging="180"/>
      </w:pPr>
    </w:lvl>
  </w:abstractNum>
  <w:abstractNum w:abstractNumId="5" w15:restartNumberingAfterBreak="0">
    <w:nsid w:val="30544C93"/>
    <w:multiLevelType w:val="hybridMultilevel"/>
    <w:tmpl w:val="E7E60B8A"/>
    <w:lvl w:ilvl="0" w:tplc="FAC03112">
      <w:start w:val="8"/>
      <w:numFmt w:val="decimal"/>
      <w:lvlText w:val="%1."/>
      <w:lvlJc w:val="left"/>
      <w:pPr>
        <w:ind w:left="473" w:hanging="360"/>
      </w:pPr>
      <w:rPr>
        <w:rFonts w:eastAsiaTheme="majorEastAsia"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624CFC"/>
    <w:multiLevelType w:val="multilevel"/>
    <w:tmpl w:val="3E8839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893791E"/>
    <w:multiLevelType w:val="hybridMultilevel"/>
    <w:tmpl w:val="F99A0E82"/>
    <w:lvl w:ilvl="0" w:tplc="DFBCEB36">
      <w:start w:val="8"/>
      <w:numFmt w:val="decimal"/>
      <w:lvlText w:val="%1."/>
      <w:lvlJc w:val="left"/>
      <w:pPr>
        <w:ind w:left="473" w:hanging="360"/>
      </w:pPr>
      <w:rPr>
        <w:rFonts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8" w15:restartNumberingAfterBreak="0">
    <w:nsid w:val="4A1954B9"/>
    <w:multiLevelType w:val="hybridMultilevel"/>
    <w:tmpl w:val="171AC64A"/>
    <w:lvl w:ilvl="0" w:tplc="0809000F">
      <w:start w:val="1"/>
      <w:numFmt w:val="decimal"/>
      <w:lvlText w:val="%1."/>
      <w:lvlJc w:val="left"/>
      <w:pPr>
        <w:ind w:left="1013" w:hanging="360"/>
      </w:pPr>
    </w:lvl>
    <w:lvl w:ilvl="1" w:tplc="08090019" w:tentative="1">
      <w:start w:val="1"/>
      <w:numFmt w:val="lowerLetter"/>
      <w:lvlText w:val="%2."/>
      <w:lvlJc w:val="left"/>
      <w:pPr>
        <w:ind w:left="1733" w:hanging="360"/>
      </w:pPr>
    </w:lvl>
    <w:lvl w:ilvl="2" w:tplc="0809001B" w:tentative="1">
      <w:start w:val="1"/>
      <w:numFmt w:val="lowerRoman"/>
      <w:lvlText w:val="%3."/>
      <w:lvlJc w:val="right"/>
      <w:pPr>
        <w:ind w:left="2453" w:hanging="180"/>
      </w:pPr>
    </w:lvl>
    <w:lvl w:ilvl="3" w:tplc="0809000F" w:tentative="1">
      <w:start w:val="1"/>
      <w:numFmt w:val="decimal"/>
      <w:lvlText w:val="%4."/>
      <w:lvlJc w:val="left"/>
      <w:pPr>
        <w:ind w:left="3173" w:hanging="360"/>
      </w:pPr>
    </w:lvl>
    <w:lvl w:ilvl="4" w:tplc="08090019" w:tentative="1">
      <w:start w:val="1"/>
      <w:numFmt w:val="lowerLetter"/>
      <w:lvlText w:val="%5."/>
      <w:lvlJc w:val="left"/>
      <w:pPr>
        <w:ind w:left="3893" w:hanging="360"/>
      </w:pPr>
    </w:lvl>
    <w:lvl w:ilvl="5" w:tplc="0809001B" w:tentative="1">
      <w:start w:val="1"/>
      <w:numFmt w:val="lowerRoman"/>
      <w:lvlText w:val="%6."/>
      <w:lvlJc w:val="right"/>
      <w:pPr>
        <w:ind w:left="4613" w:hanging="180"/>
      </w:pPr>
    </w:lvl>
    <w:lvl w:ilvl="6" w:tplc="0809000F" w:tentative="1">
      <w:start w:val="1"/>
      <w:numFmt w:val="decimal"/>
      <w:lvlText w:val="%7."/>
      <w:lvlJc w:val="left"/>
      <w:pPr>
        <w:ind w:left="5333" w:hanging="360"/>
      </w:pPr>
    </w:lvl>
    <w:lvl w:ilvl="7" w:tplc="08090019" w:tentative="1">
      <w:start w:val="1"/>
      <w:numFmt w:val="lowerLetter"/>
      <w:lvlText w:val="%8."/>
      <w:lvlJc w:val="left"/>
      <w:pPr>
        <w:ind w:left="6053" w:hanging="360"/>
      </w:pPr>
    </w:lvl>
    <w:lvl w:ilvl="8" w:tplc="0809001B" w:tentative="1">
      <w:start w:val="1"/>
      <w:numFmt w:val="lowerRoman"/>
      <w:lvlText w:val="%9."/>
      <w:lvlJc w:val="right"/>
      <w:pPr>
        <w:ind w:left="6773" w:hanging="180"/>
      </w:pPr>
    </w:lvl>
  </w:abstractNum>
  <w:abstractNum w:abstractNumId="9" w15:restartNumberingAfterBreak="0">
    <w:nsid w:val="4CF93469"/>
    <w:multiLevelType w:val="hybridMultilevel"/>
    <w:tmpl w:val="A0429978"/>
    <w:lvl w:ilvl="0" w:tplc="0809000F">
      <w:start w:val="1"/>
      <w:numFmt w:val="decimal"/>
      <w:lvlText w:val="%1."/>
      <w:lvlJc w:val="left"/>
      <w:pPr>
        <w:ind w:left="360" w:hanging="360"/>
      </w:pPr>
      <w:rPr>
        <w:rFonts w:hint="default"/>
      </w:rPr>
    </w:lvl>
    <w:lvl w:ilvl="1" w:tplc="A800961C">
      <w:start w:val="5"/>
      <w:numFmt w:val="bullet"/>
      <w:lvlText w:val="•"/>
      <w:lvlJc w:val="left"/>
      <w:pPr>
        <w:ind w:left="1080" w:hanging="360"/>
      </w:pPr>
      <w:rPr>
        <w:rFonts w:ascii="Times New Roman" w:eastAsiaTheme="majorEastAsia"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ED236D"/>
    <w:multiLevelType w:val="hybridMultilevel"/>
    <w:tmpl w:val="79E4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70308"/>
    <w:multiLevelType w:val="hybridMultilevel"/>
    <w:tmpl w:val="02B2D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BD0EDC"/>
    <w:multiLevelType w:val="hybridMultilevel"/>
    <w:tmpl w:val="7A56D8FC"/>
    <w:lvl w:ilvl="0" w:tplc="DFBCEB36">
      <w:start w:val="8"/>
      <w:numFmt w:val="decimal"/>
      <w:lvlText w:val="%1."/>
      <w:lvlJc w:val="left"/>
      <w:pPr>
        <w:ind w:left="586" w:hanging="360"/>
      </w:pPr>
      <w:rPr>
        <w:rFonts w:hint="default"/>
        <w:b/>
      </w:r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3" w15:restartNumberingAfterBreak="0">
    <w:nsid w:val="621A4E66"/>
    <w:multiLevelType w:val="hybridMultilevel"/>
    <w:tmpl w:val="D9367294"/>
    <w:lvl w:ilvl="0" w:tplc="DFBCEB36">
      <w:start w:val="8"/>
      <w:numFmt w:val="decimal"/>
      <w:lvlText w:val="%1."/>
      <w:lvlJc w:val="left"/>
      <w:pPr>
        <w:ind w:left="568" w:hanging="360"/>
      </w:pPr>
      <w:rPr>
        <w:rFonts w:hint="default"/>
        <w:b/>
      </w:rPr>
    </w:lvl>
    <w:lvl w:ilvl="1" w:tplc="08090019" w:tentative="1">
      <w:start w:val="1"/>
      <w:numFmt w:val="lowerLetter"/>
      <w:lvlText w:val="%2."/>
      <w:lvlJc w:val="left"/>
      <w:pPr>
        <w:ind w:left="1535" w:hanging="360"/>
      </w:pPr>
    </w:lvl>
    <w:lvl w:ilvl="2" w:tplc="0809001B" w:tentative="1">
      <w:start w:val="1"/>
      <w:numFmt w:val="lowerRoman"/>
      <w:lvlText w:val="%3."/>
      <w:lvlJc w:val="right"/>
      <w:pPr>
        <w:ind w:left="2255" w:hanging="180"/>
      </w:pPr>
    </w:lvl>
    <w:lvl w:ilvl="3" w:tplc="0809000F" w:tentative="1">
      <w:start w:val="1"/>
      <w:numFmt w:val="decimal"/>
      <w:lvlText w:val="%4."/>
      <w:lvlJc w:val="left"/>
      <w:pPr>
        <w:ind w:left="2975" w:hanging="360"/>
      </w:pPr>
    </w:lvl>
    <w:lvl w:ilvl="4" w:tplc="08090019" w:tentative="1">
      <w:start w:val="1"/>
      <w:numFmt w:val="lowerLetter"/>
      <w:lvlText w:val="%5."/>
      <w:lvlJc w:val="left"/>
      <w:pPr>
        <w:ind w:left="3695" w:hanging="360"/>
      </w:pPr>
    </w:lvl>
    <w:lvl w:ilvl="5" w:tplc="0809001B" w:tentative="1">
      <w:start w:val="1"/>
      <w:numFmt w:val="lowerRoman"/>
      <w:lvlText w:val="%6."/>
      <w:lvlJc w:val="right"/>
      <w:pPr>
        <w:ind w:left="4415" w:hanging="180"/>
      </w:pPr>
    </w:lvl>
    <w:lvl w:ilvl="6" w:tplc="0809000F" w:tentative="1">
      <w:start w:val="1"/>
      <w:numFmt w:val="decimal"/>
      <w:lvlText w:val="%7."/>
      <w:lvlJc w:val="left"/>
      <w:pPr>
        <w:ind w:left="5135" w:hanging="360"/>
      </w:pPr>
    </w:lvl>
    <w:lvl w:ilvl="7" w:tplc="08090019" w:tentative="1">
      <w:start w:val="1"/>
      <w:numFmt w:val="lowerLetter"/>
      <w:lvlText w:val="%8."/>
      <w:lvlJc w:val="left"/>
      <w:pPr>
        <w:ind w:left="5855" w:hanging="360"/>
      </w:pPr>
    </w:lvl>
    <w:lvl w:ilvl="8" w:tplc="0809001B" w:tentative="1">
      <w:start w:val="1"/>
      <w:numFmt w:val="lowerRoman"/>
      <w:lvlText w:val="%9."/>
      <w:lvlJc w:val="right"/>
      <w:pPr>
        <w:ind w:left="6575" w:hanging="180"/>
      </w:pPr>
    </w:lvl>
  </w:abstractNum>
  <w:abstractNum w:abstractNumId="14" w15:restartNumberingAfterBreak="0">
    <w:nsid w:val="7ACD68F0"/>
    <w:multiLevelType w:val="hybridMultilevel"/>
    <w:tmpl w:val="B72E001E"/>
    <w:lvl w:ilvl="0" w:tplc="4EAC7018">
      <w:start w:val="1"/>
      <w:numFmt w:val="decimal"/>
      <w:lvlText w:val="%1."/>
      <w:lvlJc w:val="left"/>
      <w:pPr>
        <w:ind w:left="683" w:hanging="390"/>
      </w:pPr>
      <w:rPr>
        <w:rFonts w:hint="default"/>
        <w:b w:val="0"/>
      </w:rPr>
    </w:lvl>
    <w:lvl w:ilvl="1" w:tplc="04090019" w:tentative="1">
      <w:start w:val="1"/>
      <w:numFmt w:val="lowerLetter"/>
      <w:lvlText w:val="%2."/>
      <w:lvlJc w:val="left"/>
      <w:pPr>
        <w:ind w:left="1373" w:hanging="360"/>
      </w:pPr>
    </w:lvl>
    <w:lvl w:ilvl="2" w:tplc="0409001B" w:tentative="1">
      <w:start w:val="1"/>
      <w:numFmt w:val="lowerRoman"/>
      <w:lvlText w:val="%3."/>
      <w:lvlJc w:val="right"/>
      <w:pPr>
        <w:ind w:left="2093" w:hanging="180"/>
      </w:pPr>
    </w:lvl>
    <w:lvl w:ilvl="3" w:tplc="0409000F" w:tentative="1">
      <w:start w:val="1"/>
      <w:numFmt w:val="decimal"/>
      <w:lvlText w:val="%4."/>
      <w:lvlJc w:val="left"/>
      <w:pPr>
        <w:ind w:left="2813" w:hanging="360"/>
      </w:pPr>
    </w:lvl>
    <w:lvl w:ilvl="4" w:tplc="04090019" w:tentative="1">
      <w:start w:val="1"/>
      <w:numFmt w:val="lowerLetter"/>
      <w:lvlText w:val="%5."/>
      <w:lvlJc w:val="left"/>
      <w:pPr>
        <w:ind w:left="3533" w:hanging="360"/>
      </w:pPr>
    </w:lvl>
    <w:lvl w:ilvl="5" w:tplc="0409001B" w:tentative="1">
      <w:start w:val="1"/>
      <w:numFmt w:val="lowerRoman"/>
      <w:lvlText w:val="%6."/>
      <w:lvlJc w:val="right"/>
      <w:pPr>
        <w:ind w:left="4253" w:hanging="180"/>
      </w:pPr>
    </w:lvl>
    <w:lvl w:ilvl="6" w:tplc="0409000F" w:tentative="1">
      <w:start w:val="1"/>
      <w:numFmt w:val="decimal"/>
      <w:lvlText w:val="%7."/>
      <w:lvlJc w:val="left"/>
      <w:pPr>
        <w:ind w:left="4973" w:hanging="360"/>
      </w:pPr>
    </w:lvl>
    <w:lvl w:ilvl="7" w:tplc="04090019" w:tentative="1">
      <w:start w:val="1"/>
      <w:numFmt w:val="lowerLetter"/>
      <w:lvlText w:val="%8."/>
      <w:lvlJc w:val="left"/>
      <w:pPr>
        <w:ind w:left="5693" w:hanging="360"/>
      </w:pPr>
    </w:lvl>
    <w:lvl w:ilvl="8" w:tplc="0409001B" w:tentative="1">
      <w:start w:val="1"/>
      <w:numFmt w:val="lowerRoman"/>
      <w:lvlText w:val="%9."/>
      <w:lvlJc w:val="right"/>
      <w:pPr>
        <w:ind w:left="6413" w:hanging="180"/>
      </w:pPr>
    </w:lvl>
  </w:abstractNum>
  <w:abstractNum w:abstractNumId="15" w15:restartNumberingAfterBreak="0">
    <w:nsid w:val="7B2762CB"/>
    <w:multiLevelType w:val="hybridMultilevel"/>
    <w:tmpl w:val="F678FA3E"/>
    <w:lvl w:ilvl="0" w:tplc="FAC03112">
      <w:start w:val="8"/>
      <w:numFmt w:val="decimal"/>
      <w:lvlText w:val="%1."/>
      <w:lvlJc w:val="left"/>
      <w:pPr>
        <w:ind w:left="473" w:hanging="360"/>
      </w:pPr>
      <w:rPr>
        <w:rFonts w:eastAsiaTheme="majorEastAsia" w:hint="default"/>
        <w:b/>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6"/>
  </w:num>
  <w:num w:numId="2">
    <w:abstractNumId w:val="14"/>
  </w:num>
  <w:num w:numId="3">
    <w:abstractNumId w:val="3"/>
  </w:num>
  <w:num w:numId="4">
    <w:abstractNumId w:val="8"/>
  </w:num>
  <w:num w:numId="5">
    <w:abstractNumId w:val="4"/>
  </w:num>
  <w:num w:numId="6">
    <w:abstractNumId w:val="9"/>
  </w:num>
  <w:num w:numId="7">
    <w:abstractNumId w:val="2"/>
  </w:num>
  <w:num w:numId="8">
    <w:abstractNumId w:val="10"/>
  </w:num>
  <w:num w:numId="9">
    <w:abstractNumId w:val="0"/>
  </w:num>
  <w:num w:numId="10">
    <w:abstractNumId w:val="7"/>
  </w:num>
  <w:num w:numId="11">
    <w:abstractNumId w:val="12"/>
  </w:num>
  <w:num w:numId="12">
    <w:abstractNumId w:val="1"/>
  </w:num>
  <w:num w:numId="13">
    <w:abstractNumId w:val="13"/>
  </w:num>
  <w:num w:numId="14">
    <w:abstractNumId w:val="11"/>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50426"/>
    <w:rsid w:val="00123D85"/>
    <w:rsid w:val="002A0513"/>
    <w:rsid w:val="002F33B7"/>
    <w:rsid w:val="00330402"/>
    <w:rsid w:val="003A4A8E"/>
    <w:rsid w:val="003F499C"/>
    <w:rsid w:val="004F6AFF"/>
    <w:rsid w:val="00696227"/>
    <w:rsid w:val="006D2FA3"/>
    <w:rsid w:val="00750426"/>
    <w:rsid w:val="0076464E"/>
    <w:rsid w:val="0093253E"/>
    <w:rsid w:val="00A7051F"/>
    <w:rsid w:val="00B4495A"/>
    <w:rsid w:val="00D66AF7"/>
    <w:rsid w:val="00E07AC4"/>
    <w:rsid w:val="00E6641D"/>
    <w:rsid w:val="00FF7C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830E"/>
  <w15:docId w15:val="{44B7A438-A38D-4BDB-A4AE-4B3B5851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customStyle="1" w:styleId="jlqj4b">
    <w:name w:val="jlqj4b"/>
    <w:basedOn w:val="DefaultParagraphFont"/>
    <w:rsid w:val="002A0513"/>
  </w:style>
  <w:style w:type="paragraph" w:styleId="ListParagraph">
    <w:name w:val="List Paragraph"/>
    <w:basedOn w:val="Normal"/>
    <w:uiPriority w:val="34"/>
    <w:qFormat/>
    <w:rsid w:val="002A0513"/>
    <w:pPr>
      <w:ind w:left="720"/>
      <w:contextualSpacing/>
    </w:pPr>
  </w:style>
  <w:style w:type="character" w:customStyle="1" w:styleId="viiyi">
    <w:name w:val="viiyi"/>
    <w:basedOn w:val="DefaultParagraphFont"/>
    <w:rsid w:val="002A0513"/>
  </w:style>
  <w:style w:type="paragraph" w:styleId="Header">
    <w:name w:val="header"/>
    <w:basedOn w:val="Normal"/>
    <w:link w:val="HeaderChar"/>
    <w:uiPriority w:val="99"/>
    <w:unhideWhenUsed/>
    <w:rsid w:val="00E6641D"/>
    <w:pPr>
      <w:tabs>
        <w:tab w:val="center" w:pos="4513"/>
        <w:tab w:val="right" w:pos="9026"/>
      </w:tabs>
    </w:pPr>
  </w:style>
  <w:style w:type="character" w:customStyle="1" w:styleId="HeaderChar">
    <w:name w:val="Header Char"/>
    <w:basedOn w:val="DefaultParagraphFont"/>
    <w:link w:val="Header"/>
    <w:uiPriority w:val="99"/>
    <w:rsid w:val="00E6641D"/>
  </w:style>
  <w:style w:type="paragraph" w:styleId="Footer">
    <w:name w:val="footer"/>
    <w:basedOn w:val="Normal"/>
    <w:link w:val="FooterChar"/>
    <w:uiPriority w:val="99"/>
    <w:unhideWhenUsed/>
    <w:rsid w:val="00E6641D"/>
    <w:pPr>
      <w:tabs>
        <w:tab w:val="center" w:pos="4513"/>
        <w:tab w:val="right" w:pos="9026"/>
      </w:tabs>
    </w:pPr>
  </w:style>
  <w:style w:type="character" w:customStyle="1" w:styleId="FooterChar">
    <w:name w:val="Footer Char"/>
    <w:basedOn w:val="DefaultParagraphFont"/>
    <w:link w:val="Footer"/>
    <w:uiPriority w:val="99"/>
    <w:rsid w:val="00E6641D"/>
  </w:style>
  <w:style w:type="paragraph" w:styleId="BalloonText">
    <w:name w:val="Balloon Text"/>
    <w:basedOn w:val="Normal"/>
    <w:link w:val="BalloonTextChar"/>
    <w:uiPriority w:val="99"/>
    <w:semiHidden/>
    <w:unhideWhenUsed/>
    <w:rsid w:val="00E6641D"/>
    <w:rPr>
      <w:rFonts w:ascii="Segoe UI" w:eastAsiaTheme="minorHAnsi" w:hAnsi="Segoe UI" w:cs="Segoe UI"/>
      <w:sz w:val="18"/>
      <w:szCs w:val="18"/>
      <w:lang w:val="en-GB"/>
    </w:rPr>
  </w:style>
  <w:style w:type="character" w:customStyle="1" w:styleId="BalloonTextChar">
    <w:name w:val="Balloon Text Char"/>
    <w:basedOn w:val="DefaultParagraphFont"/>
    <w:link w:val="BalloonText"/>
    <w:uiPriority w:val="99"/>
    <w:semiHidden/>
    <w:rsid w:val="00E6641D"/>
    <w:rPr>
      <w:rFonts w:ascii="Segoe UI" w:eastAsiaTheme="minorHAns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730365">
      <w:bodyDiv w:val="1"/>
      <w:marLeft w:val="0"/>
      <w:marRight w:val="0"/>
      <w:marTop w:val="0"/>
      <w:marBottom w:val="0"/>
      <w:divBdr>
        <w:top w:val="none" w:sz="0" w:space="0" w:color="auto"/>
        <w:left w:val="none" w:sz="0" w:space="0" w:color="auto"/>
        <w:bottom w:val="none" w:sz="0" w:space="0" w:color="auto"/>
        <w:right w:val="none" w:sz="0" w:space="0" w:color="auto"/>
      </w:divBdr>
      <w:divsChild>
        <w:div w:id="13951580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yewon.jung@undp.org" TargetMode="External"/><Relationship Id="rId3" Type="http://schemas.openxmlformats.org/officeDocument/2006/relationships/settings" Target="settings.xml"/><Relationship Id="rId7" Type="http://schemas.openxmlformats.org/officeDocument/2006/relationships/hyperlink" Target="mailto:lena.brenn@igad.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Milena Adnyanata</cp:lastModifiedBy>
  <cp:revision>4</cp:revision>
  <dcterms:created xsi:type="dcterms:W3CDTF">2021-08-24T05:36:00Z</dcterms:created>
  <dcterms:modified xsi:type="dcterms:W3CDTF">2021-08-24T13:27:00Z</dcterms:modified>
</cp:coreProperties>
</file>